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color w:val="585858"/>
          <w:kern w:val="0"/>
          <w:sz w:val="32"/>
          <w:szCs w:val="32"/>
        </w:rPr>
      </w:pPr>
      <w:r>
        <w:rPr>
          <w:rFonts w:hint="eastAsia" w:ascii="微软雅黑" w:hAnsi="微软雅黑" w:eastAsia="微软雅黑" w:cs="宋体"/>
          <w:b/>
          <w:color w:val="585858"/>
          <w:kern w:val="0"/>
          <w:sz w:val="32"/>
          <w:szCs w:val="32"/>
        </w:rPr>
        <w:t>湖南科技大学2023年资源环境与安全工程学院</w:t>
      </w:r>
    </w:p>
    <w:p>
      <w:pPr>
        <w:widowControl/>
        <w:jc w:val="center"/>
        <w:outlineLvl w:val="0"/>
        <w:rPr>
          <w:rFonts w:ascii="微软雅黑" w:hAnsi="微软雅黑" w:eastAsia="微软雅黑" w:cs="宋体"/>
          <w:b/>
          <w:color w:val="585858"/>
          <w:kern w:val="0"/>
          <w:sz w:val="32"/>
          <w:szCs w:val="32"/>
        </w:rPr>
      </w:pPr>
      <w:r>
        <w:rPr>
          <w:rFonts w:hint="eastAsia" w:ascii="微软雅黑" w:hAnsi="微软雅黑" w:eastAsia="微软雅黑" w:cs="宋体"/>
          <w:b/>
          <w:color w:val="585858"/>
          <w:kern w:val="0"/>
          <w:sz w:val="32"/>
          <w:szCs w:val="32"/>
        </w:rPr>
        <w:t>同等学力硕士学位班招生简章</w:t>
      </w:r>
    </w:p>
    <w:p>
      <w:pPr>
        <w:widowControl/>
        <w:spacing w:line="504" w:lineRule="atLeast"/>
        <w:ind w:firstLine="480"/>
        <w:jc w:val="left"/>
        <w:rPr>
          <w:rFonts w:ascii="微软雅黑" w:hAnsi="微软雅黑" w:eastAsia="微软雅黑" w:cs="宋体"/>
          <w:color w:val="666666"/>
          <w:kern w:val="0"/>
          <w:szCs w:val="21"/>
        </w:rPr>
      </w:pPr>
    </w:p>
    <w:p>
      <w:pPr>
        <w:widowControl/>
        <w:spacing w:line="504" w:lineRule="atLeast"/>
        <w:ind w:firstLine="480"/>
        <w:jc w:val="center"/>
        <w:rPr>
          <w:rFonts w:ascii="黑体" w:hAnsi="黑体" w:eastAsia="黑体" w:cs="宋体"/>
          <w:color w:val="585858"/>
          <w:kern w:val="0"/>
          <w:sz w:val="28"/>
          <w:szCs w:val="28"/>
        </w:rPr>
      </w:pPr>
      <w:r>
        <w:rPr>
          <w:rFonts w:hint="eastAsia" w:ascii="黑体" w:hAnsi="黑体" w:eastAsia="黑体" w:cs="宋体"/>
          <w:b/>
          <w:bCs/>
          <w:color w:val="585858"/>
          <w:kern w:val="0"/>
          <w:sz w:val="28"/>
          <w:szCs w:val="28"/>
        </w:rPr>
        <w:t>※学院简介※</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资源环境与安全工程学院有采矿工程、安全工程、环境工程、应急技术与管理4个本科专业。其中，采矿工程为国家一流专业、国家特色专业、湖南省重点专业；安全工程为国家一流专业、国家管理专业、国家特色专业。</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学院拥有深海深地矿产资源开发技术与装备教育部工程研究中心、湖南省</w:t>
      </w:r>
      <w:r>
        <w:rPr>
          <w:rFonts w:ascii="仿宋" w:hAnsi="仿宋" w:eastAsia="仿宋" w:cs="宋体"/>
          <w:color w:val="585858"/>
          <w:kern w:val="0"/>
          <w:sz w:val="28"/>
          <w:szCs w:val="28"/>
        </w:rPr>
        <w:t>2011</w:t>
      </w:r>
      <w:r>
        <w:rPr>
          <w:rFonts w:hint="eastAsia" w:ascii="仿宋" w:hAnsi="仿宋" w:eastAsia="仿宋" w:cs="宋体"/>
          <w:color w:val="585858"/>
          <w:kern w:val="0"/>
          <w:sz w:val="28"/>
          <w:szCs w:val="28"/>
        </w:rPr>
        <w:t>创新平台</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矿产资源安全绿色开发协同创新中心</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南方煤矿瓦斯与顶板灾害预防控制</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应急管理部安全生产重点实验室、煤矿安全开采技术湖南省重点实验室、煤炭资源清洁利用与矿山环境保护湖南省重点实验室和湖南省矿山通风与除尘装备工程技术研究中心等学科科研平台；有</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南方煤矿安全绿色开采</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湖南省高校科技创新团队、</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采矿工程专业</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课程群省级教学团队和国家级安全培训中心；有湖南省</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矿业工程虚拟仿真实验教学中心</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矿业安全研究生</w:t>
      </w:r>
      <w:r>
        <w:rPr>
          <w:rFonts w:hint="cs" w:ascii="仿宋" w:hAnsi="仿宋" w:eastAsia="仿宋" w:cs="宋体"/>
          <w:color w:val="585858"/>
          <w:kern w:val="0"/>
          <w:sz w:val="28"/>
          <w:szCs w:val="28"/>
        </w:rPr>
        <w:t>”</w:t>
      </w:r>
      <w:r>
        <w:rPr>
          <w:rFonts w:hint="eastAsia" w:ascii="仿宋" w:hAnsi="仿宋" w:eastAsia="仿宋" w:cs="宋体"/>
          <w:color w:val="585858"/>
          <w:kern w:val="0"/>
          <w:sz w:val="28"/>
          <w:szCs w:val="28"/>
        </w:rPr>
        <w:t>培养创新基地</w:t>
      </w:r>
      <w:r>
        <w:rPr>
          <w:rFonts w:ascii="仿宋" w:hAnsi="仿宋" w:eastAsia="仿宋" w:cs="宋体"/>
          <w:color w:val="585858"/>
          <w:kern w:val="0"/>
          <w:sz w:val="28"/>
          <w:szCs w:val="28"/>
        </w:rPr>
        <w:t>(</w:t>
      </w:r>
      <w:r>
        <w:rPr>
          <w:rFonts w:hint="eastAsia" w:ascii="仿宋" w:hAnsi="仿宋" w:eastAsia="仿宋" w:cs="宋体"/>
          <w:color w:val="585858"/>
          <w:kern w:val="0"/>
          <w:sz w:val="28"/>
          <w:szCs w:val="28"/>
        </w:rPr>
        <w:t>平安电气股份有限公司</w:t>
      </w:r>
      <w:r>
        <w:rPr>
          <w:rFonts w:ascii="仿宋" w:hAnsi="仿宋" w:eastAsia="仿宋" w:cs="宋体"/>
          <w:color w:val="585858"/>
          <w:kern w:val="0"/>
          <w:sz w:val="28"/>
          <w:szCs w:val="28"/>
        </w:rPr>
        <w:t>)</w:t>
      </w:r>
      <w:r>
        <w:rPr>
          <w:rFonts w:hint="eastAsia" w:ascii="仿宋" w:hAnsi="仿宋" w:eastAsia="仿宋" w:cs="宋体"/>
          <w:color w:val="585858"/>
          <w:kern w:val="0"/>
          <w:sz w:val="28"/>
          <w:szCs w:val="28"/>
        </w:rPr>
        <w:t>、和</w:t>
      </w:r>
      <w:r>
        <w:rPr>
          <w:rFonts w:ascii="仿宋" w:hAnsi="仿宋" w:eastAsia="仿宋" w:cs="宋体"/>
          <w:color w:val="585858"/>
          <w:kern w:val="0"/>
          <w:sz w:val="28"/>
          <w:szCs w:val="28"/>
        </w:rPr>
        <w:t>10</w:t>
      </w:r>
      <w:r>
        <w:rPr>
          <w:rFonts w:hint="eastAsia" w:ascii="仿宋" w:hAnsi="仿宋" w:eastAsia="仿宋" w:cs="宋体"/>
          <w:color w:val="585858"/>
          <w:kern w:val="0"/>
          <w:sz w:val="28"/>
          <w:szCs w:val="28"/>
        </w:rPr>
        <w:t>余个省级产学研示范基地。学院拥有实验用房</w:t>
      </w:r>
      <w:r>
        <w:rPr>
          <w:rFonts w:ascii="仿宋" w:hAnsi="仿宋" w:eastAsia="仿宋" w:cs="宋体"/>
          <w:color w:val="585858"/>
          <w:kern w:val="0"/>
          <w:sz w:val="28"/>
          <w:szCs w:val="28"/>
        </w:rPr>
        <w:t>8000m2</w:t>
      </w:r>
      <w:r>
        <w:rPr>
          <w:rFonts w:hint="eastAsia" w:ascii="仿宋" w:hAnsi="仿宋" w:eastAsia="仿宋" w:cs="宋体"/>
          <w:color w:val="585858"/>
          <w:kern w:val="0"/>
          <w:sz w:val="28"/>
          <w:szCs w:val="28"/>
        </w:rPr>
        <w:t>，实验设备原值近</w:t>
      </w:r>
      <w:r>
        <w:rPr>
          <w:rFonts w:ascii="仿宋" w:hAnsi="仿宋" w:eastAsia="仿宋" w:cs="宋体"/>
          <w:color w:val="585858"/>
          <w:kern w:val="0"/>
          <w:sz w:val="28"/>
          <w:szCs w:val="28"/>
        </w:rPr>
        <w:t>6000</w:t>
      </w:r>
      <w:r>
        <w:rPr>
          <w:rFonts w:hint="eastAsia" w:ascii="仿宋" w:hAnsi="仿宋" w:eastAsia="仿宋" w:cs="宋体"/>
          <w:color w:val="585858"/>
          <w:kern w:val="0"/>
          <w:sz w:val="28"/>
          <w:szCs w:val="28"/>
        </w:rPr>
        <w:t>余万元。</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学院现有教职工</w:t>
      </w:r>
      <w:r>
        <w:rPr>
          <w:rFonts w:ascii="仿宋" w:hAnsi="仿宋" w:eastAsia="仿宋" w:cs="宋体"/>
          <w:color w:val="585858"/>
          <w:kern w:val="0"/>
          <w:sz w:val="28"/>
          <w:szCs w:val="28"/>
        </w:rPr>
        <w:t>97</w:t>
      </w:r>
      <w:r>
        <w:rPr>
          <w:rFonts w:hint="eastAsia" w:ascii="仿宋" w:hAnsi="仿宋" w:eastAsia="仿宋" w:cs="宋体"/>
          <w:color w:val="585858"/>
          <w:kern w:val="0"/>
          <w:sz w:val="28"/>
          <w:szCs w:val="28"/>
        </w:rPr>
        <w:t>人（包含独立科研机构人员），专业教师总数</w:t>
      </w:r>
      <w:r>
        <w:rPr>
          <w:rFonts w:ascii="仿宋" w:hAnsi="仿宋" w:eastAsia="仿宋" w:cs="宋体"/>
          <w:color w:val="585858"/>
          <w:kern w:val="0"/>
          <w:sz w:val="28"/>
          <w:szCs w:val="28"/>
        </w:rPr>
        <w:t>78</w:t>
      </w:r>
      <w:r>
        <w:rPr>
          <w:rFonts w:hint="eastAsia" w:ascii="仿宋" w:hAnsi="仿宋" w:eastAsia="仿宋" w:cs="宋体"/>
          <w:color w:val="585858"/>
          <w:kern w:val="0"/>
          <w:sz w:val="28"/>
          <w:szCs w:val="28"/>
        </w:rPr>
        <w:t>人，教师队伍中有博士生导师</w:t>
      </w:r>
      <w:r>
        <w:rPr>
          <w:rFonts w:ascii="仿宋" w:hAnsi="仿宋" w:eastAsia="仿宋" w:cs="宋体"/>
          <w:color w:val="585858"/>
          <w:kern w:val="0"/>
          <w:sz w:val="28"/>
          <w:szCs w:val="28"/>
        </w:rPr>
        <w:t>29</w:t>
      </w:r>
      <w:r>
        <w:rPr>
          <w:rFonts w:hint="eastAsia" w:ascii="仿宋" w:hAnsi="仿宋" w:eastAsia="仿宋" w:cs="宋体"/>
          <w:color w:val="585858"/>
          <w:kern w:val="0"/>
          <w:sz w:val="28"/>
          <w:szCs w:val="28"/>
        </w:rPr>
        <w:t>名，教授</w:t>
      </w:r>
      <w:r>
        <w:rPr>
          <w:rFonts w:ascii="仿宋" w:hAnsi="仿宋" w:eastAsia="仿宋" w:cs="宋体"/>
          <w:color w:val="585858"/>
          <w:kern w:val="0"/>
          <w:sz w:val="28"/>
          <w:szCs w:val="28"/>
        </w:rPr>
        <w:t>26</w:t>
      </w:r>
      <w:r>
        <w:rPr>
          <w:rFonts w:hint="eastAsia" w:ascii="仿宋" w:hAnsi="仿宋" w:eastAsia="仿宋" w:cs="宋体"/>
          <w:color w:val="585858"/>
          <w:kern w:val="0"/>
          <w:sz w:val="28"/>
          <w:szCs w:val="28"/>
        </w:rPr>
        <w:t>名（其中二级教授</w:t>
      </w:r>
      <w:r>
        <w:rPr>
          <w:rFonts w:ascii="仿宋" w:hAnsi="仿宋" w:eastAsia="仿宋" w:cs="宋体"/>
          <w:color w:val="585858"/>
          <w:kern w:val="0"/>
          <w:sz w:val="28"/>
          <w:szCs w:val="28"/>
        </w:rPr>
        <w:t>11</w:t>
      </w:r>
      <w:r>
        <w:rPr>
          <w:rFonts w:hint="eastAsia" w:ascii="仿宋" w:hAnsi="仿宋" w:eastAsia="仿宋" w:cs="宋体"/>
          <w:color w:val="585858"/>
          <w:kern w:val="0"/>
          <w:sz w:val="28"/>
          <w:szCs w:val="28"/>
        </w:rPr>
        <w:t>名），专业教师具有博士学位的老师有</w:t>
      </w:r>
      <w:r>
        <w:rPr>
          <w:rFonts w:ascii="仿宋" w:hAnsi="仿宋" w:eastAsia="仿宋" w:cs="宋体"/>
          <w:color w:val="585858"/>
          <w:kern w:val="0"/>
          <w:sz w:val="28"/>
          <w:szCs w:val="28"/>
        </w:rPr>
        <w:t>70</w:t>
      </w:r>
      <w:r>
        <w:rPr>
          <w:rFonts w:hint="eastAsia" w:ascii="仿宋" w:hAnsi="仿宋" w:eastAsia="仿宋" w:cs="宋体"/>
          <w:color w:val="585858"/>
          <w:kern w:val="0"/>
          <w:sz w:val="28"/>
          <w:szCs w:val="28"/>
        </w:rPr>
        <w:t>人。形成了结构合理、素质较高的教师队伍。</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多年来，学院以立足江南，面向全国，服务地方经济，产生了一大批标志性成果，获国家级科技进步奖</w:t>
      </w:r>
      <w:r>
        <w:rPr>
          <w:rFonts w:ascii="仿宋" w:hAnsi="仿宋" w:eastAsia="仿宋" w:cs="宋体"/>
          <w:color w:val="585858"/>
          <w:kern w:val="0"/>
          <w:sz w:val="28"/>
          <w:szCs w:val="28"/>
        </w:rPr>
        <w:t>3</w:t>
      </w:r>
      <w:r>
        <w:rPr>
          <w:rFonts w:hint="eastAsia" w:ascii="仿宋" w:hAnsi="仿宋" w:eastAsia="仿宋" w:cs="宋体"/>
          <w:color w:val="585858"/>
          <w:kern w:val="0"/>
          <w:sz w:val="28"/>
          <w:szCs w:val="28"/>
        </w:rPr>
        <w:t>项，省部级和行业协会科技进步奖</w:t>
      </w:r>
      <w:r>
        <w:rPr>
          <w:rFonts w:ascii="仿宋" w:hAnsi="仿宋" w:eastAsia="仿宋" w:cs="宋体"/>
          <w:color w:val="585858"/>
          <w:kern w:val="0"/>
          <w:sz w:val="28"/>
          <w:szCs w:val="28"/>
        </w:rPr>
        <w:t>100</w:t>
      </w:r>
      <w:r>
        <w:rPr>
          <w:rFonts w:hint="eastAsia" w:ascii="仿宋" w:hAnsi="仿宋" w:eastAsia="仿宋" w:cs="宋体"/>
          <w:color w:val="585858"/>
          <w:kern w:val="0"/>
          <w:sz w:val="28"/>
          <w:szCs w:val="28"/>
        </w:rPr>
        <w:t>余项；近五年来，学院承担各类科研项目</w:t>
      </w:r>
      <w:r>
        <w:rPr>
          <w:rFonts w:ascii="仿宋" w:hAnsi="仿宋" w:eastAsia="仿宋" w:cs="宋体"/>
          <w:color w:val="585858"/>
          <w:kern w:val="0"/>
          <w:sz w:val="28"/>
          <w:szCs w:val="28"/>
        </w:rPr>
        <w:t>100</w:t>
      </w:r>
      <w:r>
        <w:rPr>
          <w:rFonts w:hint="eastAsia" w:ascii="仿宋" w:hAnsi="仿宋" w:eastAsia="仿宋" w:cs="宋体"/>
          <w:color w:val="585858"/>
          <w:kern w:val="0"/>
          <w:sz w:val="28"/>
          <w:szCs w:val="28"/>
        </w:rPr>
        <w:t>余项，科研经费</w:t>
      </w:r>
      <w:r>
        <w:rPr>
          <w:rFonts w:ascii="仿宋" w:hAnsi="仿宋" w:eastAsia="仿宋" w:cs="宋体"/>
          <w:color w:val="585858"/>
          <w:kern w:val="0"/>
          <w:sz w:val="28"/>
          <w:szCs w:val="28"/>
        </w:rPr>
        <w:t>5000</w:t>
      </w:r>
      <w:r>
        <w:rPr>
          <w:rFonts w:hint="eastAsia" w:ascii="仿宋" w:hAnsi="仿宋" w:eastAsia="仿宋" w:cs="宋体"/>
          <w:color w:val="585858"/>
          <w:kern w:val="0"/>
          <w:sz w:val="28"/>
          <w:szCs w:val="28"/>
        </w:rPr>
        <w:t>余万元，主持国家重点研发计划课题、国家自然科学基金重点项目、面上项目、青年项目等</w:t>
      </w:r>
      <w:r>
        <w:rPr>
          <w:rFonts w:ascii="仿宋" w:hAnsi="仿宋" w:eastAsia="仿宋" w:cs="宋体"/>
          <w:color w:val="585858"/>
          <w:kern w:val="0"/>
          <w:sz w:val="28"/>
          <w:szCs w:val="28"/>
        </w:rPr>
        <w:t>80</w:t>
      </w:r>
      <w:r>
        <w:rPr>
          <w:rFonts w:hint="eastAsia" w:ascii="仿宋" w:hAnsi="仿宋" w:eastAsia="仿宋" w:cs="宋体"/>
          <w:color w:val="585858"/>
          <w:kern w:val="0"/>
          <w:sz w:val="28"/>
          <w:szCs w:val="28"/>
        </w:rPr>
        <w:t>余项。在国内外公开刊物上共发表论文</w:t>
      </w:r>
      <w:r>
        <w:rPr>
          <w:rFonts w:ascii="仿宋" w:hAnsi="仿宋" w:eastAsia="仿宋" w:cs="宋体"/>
          <w:color w:val="585858"/>
          <w:kern w:val="0"/>
          <w:sz w:val="28"/>
          <w:szCs w:val="28"/>
        </w:rPr>
        <w:t>600</w:t>
      </w:r>
      <w:r>
        <w:rPr>
          <w:rFonts w:hint="eastAsia" w:ascii="仿宋" w:hAnsi="仿宋" w:eastAsia="仿宋" w:cs="宋体"/>
          <w:color w:val="585858"/>
          <w:kern w:val="0"/>
          <w:sz w:val="28"/>
          <w:szCs w:val="28"/>
        </w:rPr>
        <w:t>余篇，其中</w:t>
      </w:r>
      <w:r>
        <w:rPr>
          <w:rFonts w:ascii="仿宋" w:hAnsi="仿宋" w:eastAsia="仿宋" w:cs="宋体"/>
          <w:color w:val="585858"/>
          <w:kern w:val="0"/>
          <w:sz w:val="28"/>
          <w:szCs w:val="28"/>
        </w:rPr>
        <w:t>SCI</w:t>
      </w:r>
      <w:r>
        <w:rPr>
          <w:rFonts w:hint="eastAsia" w:ascii="仿宋" w:hAnsi="仿宋" w:eastAsia="仿宋" w:cs="宋体"/>
          <w:color w:val="585858"/>
          <w:kern w:val="0"/>
          <w:sz w:val="28"/>
          <w:szCs w:val="28"/>
        </w:rPr>
        <w:t>、</w:t>
      </w:r>
      <w:r>
        <w:rPr>
          <w:rFonts w:ascii="仿宋" w:hAnsi="仿宋" w:eastAsia="仿宋" w:cs="宋体"/>
          <w:color w:val="585858"/>
          <w:kern w:val="0"/>
          <w:sz w:val="28"/>
          <w:szCs w:val="28"/>
        </w:rPr>
        <w:t>EI</w:t>
      </w:r>
      <w:r>
        <w:rPr>
          <w:rFonts w:hint="eastAsia" w:ascii="仿宋" w:hAnsi="仿宋" w:eastAsia="仿宋" w:cs="宋体"/>
          <w:color w:val="585858"/>
          <w:kern w:val="0"/>
          <w:sz w:val="28"/>
          <w:szCs w:val="28"/>
        </w:rPr>
        <w:t>、</w:t>
      </w:r>
      <w:r>
        <w:rPr>
          <w:rFonts w:ascii="仿宋" w:hAnsi="仿宋" w:eastAsia="仿宋" w:cs="宋体"/>
          <w:color w:val="585858"/>
          <w:kern w:val="0"/>
          <w:sz w:val="28"/>
          <w:szCs w:val="28"/>
        </w:rPr>
        <w:t>ISTP</w:t>
      </w:r>
      <w:r>
        <w:rPr>
          <w:rFonts w:hint="eastAsia" w:ascii="仿宋" w:hAnsi="仿宋" w:eastAsia="仿宋" w:cs="宋体"/>
          <w:color w:val="585858"/>
          <w:kern w:val="0"/>
          <w:sz w:val="28"/>
          <w:szCs w:val="28"/>
        </w:rPr>
        <w:t>收录</w:t>
      </w:r>
      <w:r>
        <w:rPr>
          <w:rFonts w:ascii="仿宋" w:hAnsi="仿宋" w:eastAsia="仿宋" w:cs="宋体"/>
          <w:color w:val="585858"/>
          <w:kern w:val="0"/>
          <w:sz w:val="28"/>
          <w:szCs w:val="28"/>
        </w:rPr>
        <w:t>200</w:t>
      </w:r>
      <w:r>
        <w:rPr>
          <w:rFonts w:hint="eastAsia" w:ascii="仿宋" w:hAnsi="仿宋" w:eastAsia="仿宋" w:cs="宋体"/>
          <w:color w:val="585858"/>
          <w:kern w:val="0"/>
          <w:sz w:val="28"/>
          <w:szCs w:val="28"/>
        </w:rPr>
        <w:t>余篇；出版专著</w:t>
      </w:r>
      <w:r>
        <w:rPr>
          <w:rFonts w:ascii="仿宋" w:hAnsi="仿宋" w:eastAsia="仿宋" w:cs="宋体"/>
          <w:color w:val="585858"/>
          <w:kern w:val="0"/>
          <w:sz w:val="28"/>
          <w:szCs w:val="28"/>
        </w:rPr>
        <w:t>11</w:t>
      </w:r>
      <w:r>
        <w:rPr>
          <w:rFonts w:hint="eastAsia" w:ascii="仿宋" w:hAnsi="仿宋" w:eastAsia="仿宋" w:cs="宋体"/>
          <w:color w:val="585858"/>
          <w:kern w:val="0"/>
          <w:sz w:val="28"/>
          <w:szCs w:val="28"/>
        </w:rPr>
        <w:t>部，教材</w:t>
      </w:r>
      <w:r>
        <w:rPr>
          <w:rFonts w:ascii="仿宋" w:hAnsi="仿宋" w:eastAsia="仿宋" w:cs="宋体"/>
          <w:color w:val="585858"/>
          <w:kern w:val="0"/>
          <w:sz w:val="28"/>
          <w:szCs w:val="28"/>
        </w:rPr>
        <w:t>12</w:t>
      </w:r>
      <w:r>
        <w:rPr>
          <w:rFonts w:hint="eastAsia" w:ascii="仿宋" w:hAnsi="仿宋" w:eastAsia="仿宋" w:cs="宋体"/>
          <w:color w:val="585858"/>
          <w:kern w:val="0"/>
          <w:sz w:val="28"/>
          <w:szCs w:val="28"/>
        </w:rPr>
        <w:t>部；获省部级优秀教学成果奖</w:t>
      </w:r>
      <w:r>
        <w:rPr>
          <w:rFonts w:ascii="仿宋" w:hAnsi="仿宋" w:eastAsia="仿宋" w:cs="宋体"/>
          <w:color w:val="585858"/>
          <w:kern w:val="0"/>
          <w:sz w:val="28"/>
          <w:szCs w:val="28"/>
        </w:rPr>
        <w:t>4</w:t>
      </w:r>
      <w:r>
        <w:rPr>
          <w:rFonts w:hint="eastAsia" w:ascii="仿宋" w:hAnsi="仿宋" w:eastAsia="仿宋" w:cs="宋体"/>
          <w:color w:val="585858"/>
          <w:kern w:val="0"/>
          <w:sz w:val="28"/>
          <w:szCs w:val="28"/>
        </w:rPr>
        <w:t>项，湖南省一流课程</w:t>
      </w:r>
      <w:r>
        <w:rPr>
          <w:rFonts w:ascii="仿宋" w:hAnsi="仿宋" w:eastAsia="仿宋" w:cs="宋体"/>
          <w:color w:val="585858"/>
          <w:kern w:val="0"/>
          <w:sz w:val="28"/>
          <w:szCs w:val="28"/>
        </w:rPr>
        <w:t>5</w:t>
      </w:r>
      <w:r>
        <w:rPr>
          <w:rFonts w:hint="eastAsia" w:ascii="仿宋" w:hAnsi="仿宋" w:eastAsia="仿宋" w:cs="宋体"/>
          <w:color w:val="585858"/>
          <w:kern w:val="0"/>
          <w:sz w:val="28"/>
          <w:szCs w:val="28"/>
        </w:rPr>
        <w:t>门次。</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※专业方向※</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安全科学与工程</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※培养对象※</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从事本专业相关工作的在职人员。</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※培养目标※</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在职攻读安全科学与工程专业主要面向实际工作者、从事本专业相关的在职人员，培养具有社会主义法治理念、德才兼备、适应我国社会主义市场经济和法治国家建设需要的实践型、复合型、高层次的人才。</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※培养方式※</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课程学习形式为面授教学与网络教学相结合；面授教学的上课时间主要安排在周末、节假日和寒暑假。</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一个月2-3次课程。</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※培养方案※</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同等学力人</w:t>
      </w:r>
      <w:r>
        <w:rPr>
          <w:rFonts w:ascii="仿宋" w:hAnsi="仿宋" w:eastAsia="仿宋" w:cs="宋体"/>
          <w:color w:val="585858"/>
          <w:kern w:val="0"/>
          <w:sz w:val="28"/>
          <w:szCs w:val="28"/>
        </w:rPr>
        <w:t>员</w:t>
      </w:r>
      <w:r>
        <w:rPr>
          <w:rFonts w:hint="eastAsia" w:ascii="仿宋" w:hAnsi="仿宋" w:eastAsia="仿宋" w:cs="宋体"/>
          <w:color w:val="585858"/>
          <w:kern w:val="0"/>
          <w:sz w:val="28"/>
          <w:szCs w:val="28"/>
        </w:rPr>
        <w:t>申请硕士学位按相应学科（专业）的学术学位硕士研究生培养方案执行。</w:t>
      </w:r>
    </w:p>
    <w:tbl>
      <w:tblPr>
        <w:tblStyle w:val="7"/>
        <w:tblW w:w="5000" w:type="pct"/>
        <w:tblInd w:w="0" w:type="dxa"/>
        <w:tblLayout w:type="autofit"/>
        <w:tblCellMar>
          <w:top w:w="0" w:type="dxa"/>
          <w:left w:w="0" w:type="dxa"/>
          <w:bottom w:w="0" w:type="dxa"/>
          <w:right w:w="0" w:type="dxa"/>
        </w:tblCellMar>
      </w:tblPr>
      <w:tblGrid>
        <w:gridCol w:w="1310"/>
        <w:gridCol w:w="1408"/>
        <w:gridCol w:w="1753"/>
        <w:gridCol w:w="819"/>
        <w:gridCol w:w="1081"/>
        <w:gridCol w:w="982"/>
        <w:gridCol w:w="1001"/>
      </w:tblGrid>
      <w:tr>
        <w:tblPrEx>
          <w:tblCellMar>
            <w:top w:w="0" w:type="dxa"/>
            <w:left w:w="0" w:type="dxa"/>
            <w:bottom w:w="0" w:type="dxa"/>
            <w:right w:w="0" w:type="dxa"/>
          </w:tblCellMar>
        </w:tblPrEx>
        <w:trPr>
          <w:trHeight w:val="567" w:hRule="atLeast"/>
        </w:trPr>
        <w:tc>
          <w:tcPr>
            <w:tcW w:w="5000" w:type="pct"/>
            <w:gridSpan w:val="7"/>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b/>
                <w:bCs/>
                <w:color w:val="FFFFFF"/>
                <w:sz w:val="24"/>
                <w:szCs w:val="24"/>
              </w:rPr>
              <w:t>同等学力安全科学与工程专业培养计划（</w:t>
            </w:r>
            <w:r>
              <w:rPr>
                <w:rFonts w:ascii="Arial" w:hAnsi="Arial" w:eastAsia="微软雅黑" w:cs="Arial"/>
                <w:b/>
                <w:bCs/>
                <w:color w:val="FFFFFF"/>
                <w:sz w:val="24"/>
                <w:szCs w:val="24"/>
              </w:rPr>
              <w:t>2023</w:t>
            </w:r>
            <w:r>
              <w:rPr>
                <w:rFonts w:hint="eastAsia" w:ascii="Arial" w:hAnsi="微软雅黑" w:eastAsia="微软雅黑" w:cs="Arial"/>
                <w:b/>
                <w:bCs/>
                <w:color w:val="FFFFFF"/>
                <w:sz w:val="24"/>
                <w:szCs w:val="24"/>
              </w:rPr>
              <w:t>）</w:t>
            </w:r>
          </w:p>
        </w:tc>
      </w:tr>
      <w:tr>
        <w:tblPrEx>
          <w:tblCellMar>
            <w:top w:w="0" w:type="dxa"/>
            <w:left w:w="0" w:type="dxa"/>
            <w:bottom w:w="0" w:type="dxa"/>
            <w:right w:w="0" w:type="dxa"/>
          </w:tblCellMar>
        </w:tblPrEx>
        <w:trPr>
          <w:trHeight w:val="310" w:hRule="atLeast"/>
        </w:trPr>
        <w:tc>
          <w:tcPr>
            <w:tcW w:w="784"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课程类别</w:t>
            </w:r>
          </w:p>
        </w:tc>
        <w:tc>
          <w:tcPr>
            <w:tcW w:w="843"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课程代码</w:t>
            </w:r>
          </w:p>
        </w:tc>
        <w:tc>
          <w:tcPr>
            <w:tcW w:w="1049"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课程名称</w:t>
            </w:r>
          </w:p>
        </w:tc>
        <w:tc>
          <w:tcPr>
            <w:tcW w:w="490"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学分</w:t>
            </w:r>
          </w:p>
        </w:tc>
        <w:tc>
          <w:tcPr>
            <w:tcW w:w="647"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应修学分</w:t>
            </w:r>
          </w:p>
        </w:tc>
        <w:tc>
          <w:tcPr>
            <w:tcW w:w="588"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备注</w:t>
            </w:r>
          </w:p>
        </w:tc>
        <w:tc>
          <w:tcPr>
            <w:tcW w:w="599"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授课时间</w:t>
            </w:r>
          </w:p>
        </w:tc>
      </w:tr>
      <w:tr>
        <w:tblPrEx>
          <w:tblCellMar>
            <w:top w:w="0" w:type="dxa"/>
            <w:left w:w="0" w:type="dxa"/>
            <w:bottom w:w="0" w:type="dxa"/>
            <w:right w:w="0" w:type="dxa"/>
          </w:tblCellMar>
        </w:tblPrEx>
        <w:trPr>
          <w:trHeight w:val="556" w:hRule="atLeast"/>
        </w:trPr>
        <w:tc>
          <w:tcPr>
            <w:tcW w:w="784" w:type="pct"/>
            <w:vMerge w:val="restar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kern w:val="0"/>
                <w:sz w:val="16"/>
                <w:szCs w:val="16"/>
              </w:rPr>
              <w:t>公共基础课</w:t>
            </w:r>
          </w:p>
        </w:tc>
        <w:tc>
          <w:tcPr>
            <w:tcW w:w="843"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G19000001</w:t>
            </w:r>
          </w:p>
        </w:tc>
        <w:tc>
          <w:tcPr>
            <w:tcW w:w="1049"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中国特色社会主义理论与实践研究</w:t>
            </w:r>
          </w:p>
        </w:tc>
        <w:tc>
          <w:tcPr>
            <w:tcW w:w="490"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restar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必修</w:t>
            </w:r>
            <w:r>
              <w:rPr>
                <w:rFonts w:ascii="Arial" w:hAnsi="Arial" w:eastAsia="微软雅黑" w:cs="Arial"/>
                <w:color w:val="000000"/>
                <w:sz w:val="16"/>
                <w:szCs w:val="16"/>
              </w:rPr>
              <w:t>12</w:t>
            </w:r>
            <w:r>
              <w:rPr>
                <w:rFonts w:hint="eastAsia" w:ascii="Arial" w:hAnsi="微软雅黑" w:eastAsia="微软雅黑" w:cs="Arial"/>
                <w:color w:val="000000"/>
                <w:sz w:val="16"/>
                <w:szCs w:val="16"/>
              </w:rPr>
              <w:t>学分</w:t>
            </w:r>
          </w:p>
        </w:tc>
        <w:tc>
          <w:tcPr>
            <w:tcW w:w="588"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G19000003</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自然辩证法概论</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1</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G19000004</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综合英语</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spacing w:line="240" w:lineRule="exact"/>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G19000005</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学术英语写作</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1</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G19000007</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数值分析</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3</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G19000012</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数理统计</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3</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restar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kern w:val="0"/>
                <w:sz w:val="16"/>
                <w:szCs w:val="16"/>
              </w:rPr>
              <w:t>学科基础课</w:t>
            </w: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X19010201</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高等流体力学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restar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必修</w:t>
            </w:r>
            <w:r>
              <w:rPr>
                <w:rFonts w:ascii="Arial" w:hAnsi="Arial" w:eastAsia="微软雅黑" w:cs="Arial"/>
                <w:color w:val="000000"/>
                <w:sz w:val="16"/>
                <w:szCs w:val="16"/>
              </w:rPr>
              <w:t>29</w:t>
            </w:r>
            <w:r>
              <w:rPr>
                <w:rFonts w:hint="eastAsia" w:ascii="Arial" w:hAnsi="微软雅黑" w:eastAsia="微软雅黑" w:cs="Arial"/>
                <w:color w:val="000000"/>
                <w:sz w:val="16"/>
                <w:szCs w:val="16"/>
              </w:rPr>
              <w:t>学分</w:t>
            </w: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340"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X19010202</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工程热力学与传热学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X19010203</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安全学科前沿讲座</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X19010204</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燃烧与爆炸</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X19011202</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学术论文写作</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1</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340"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X19011203</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数值模拟理论及其方法</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X19011204</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高等采矿学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X19011205</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安全统计学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X19011206</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现代测试分析技术</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X19011207</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通风安全学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340"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X19011208</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安全监测理论及技术</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X19011209</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安全评价</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278"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X19011210</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安全经济学</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340"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X19011211</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工业通风与粉尘防治技术</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340" w:hRule="atLeast"/>
        </w:trPr>
        <w:tc>
          <w:tcPr>
            <w:tcW w:w="784"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X19011212</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矿井瓦斯防治与利用</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2</w:t>
            </w:r>
          </w:p>
        </w:tc>
        <w:tc>
          <w:tcPr>
            <w:tcW w:w="647"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jc w:val="left"/>
              <w:rPr>
                <w:rFonts w:ascii="Arial" w:hAnsi="Arial" w:eastAsia="宋体" w:cs="Arial"/>
                <w:kern w:val="0"/>
                <w:sz w:val="36"/>
                <w:szCs w:val="36"/>
              </w:rPr>
            </w:pP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556" w:hRule="atLeast"/>
        </w:trPr>
        <w:tc>
          <w:tcPr>
            <w:tcW w:w="784"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ind w:right="115"/>
              <w:jc w:val="center"/>
              <w:rPr>
                <w:rFonts w:ascii="Arial" w:hAnsi="Arial" w:eastAsia="宋体" w:cs="Arial"/>
                <w:kern w:val="0"/>
                <w:sz w:val="36"/>
                <w:szCs w:val="36"/>
              </w:rPr>
            </w:pPr>
            <w:r>
              <w:rPr>
                <w:rFonts w:hint="eastAsia" w:ascii="Arial" w:hAnsi="微软雅黑" w:eastAsia="微软雅黑" w:cs="Arial"/>
                <w:color w:val="000000"/>
                <w:sz w:val="16"/>
                <w:szCs w:val="16"/>
              </w:rPr>
              <w:t>实践环节</w:t>
            </w:r>
          </w:p>
        </w:tc>
        <w:tc>
          <w:tcPr>
            <w:tcW w:w="843"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rPr>
                <w:rFonts w:ascii="Arial" w:hAnsi="Arial" w:eastAsia="宋体" w:cs="Arial"/>
                <w:kern w:val="0"/>
                <w:sz w:val="36"/>
                <w:szCs w:val="36"/>
              </w:rPr>
            </w:pPr>
            <w:r>
              <w:rPr>
                <w:rFonts w:ascii="Arial" w:hAnsi="Arial" w:eastAsia="微软雅黑" w:cs="Arial"/>
                <w:color w:val="000000"/>
                <w:sz w:val="16"/>
                <w:szCs w:val="16"/>
              </w:rPr>
              <w:t> G19000024</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ind w:right="115"/>
              <w:jc w:val="center"/>
              <w:rPr>
                <w:rFonts w:ascii="Arial" w:hAnsi="Arial" w:eastAsia="宋体" w:cs="Arial"/>
                <w:kern w:val="0"/>
                <w:sz w:val="36"/>
                <w:szCs w:val="36"/>
              </w:rPr>
            </w:pPr>
            <w:r>
              <w:rPr>
                <w:rFonts w:hint="eastAsia" w:ascii="Arial" w:hAnsi="微软雅黑" w:eastAsia="微软雅黑" w:cs="Arial"/>
                <w:color w:val="000000"/>
                <w:sz w:val="16"/>
                <w:szCs w:val="16"/>
              </w:rPr>
              <w:t>实践活动</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spacing w:line="400" w:lineRule="exact"/>
              <w:jc w:val="center"/>
              <w:rPr>
                <w:rFonts w:ascii="Arial" w:hAnsi="Arial" w:eastAsia="宋体" w:cs="Arial"/>
                <w:kern w:val="0"/>
                <w:sz w:val="36"/>
                <w:szCs w:val="36"/>
              </w:rPr>
            </w:pPr>
            <w:r>
              <w:rPr>
                <w:rFonts w:ascii="Arial" w:hAnsi="Arial" w:eastAsia="微软雅黑" w:cs="Arial"/>
                <w:color w:val="000000"/>
                <w:sz w:val="16"/>
                <w:szCs w:val="16"/>
              </w:rPr>
              <w:t>1</w:t>
            </w:r>
          </w:p>
        </w:tc>
        <w:tc>
          <w:tcPr>
            <w:tcW w:w="647"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spacing w:line="400" w:lineRule="exact"/>
              <w:jc w:val="center"/>
              <w:rPr>
                <w:rFonts w:ascii="Arial" w:hAnsi="Arial" w:eastAsia="宋体" w:cs="Arial"/>
                <w:kern w:val="0"/>
                <w:sz w:val="36"/>
                <w:szCs w:val="36"/>
              </w:rPr>
            </w:pPr>
            <w:r>
              <w:rPr>
                <w:rFonts w:hint="eastAsia" w:ascii="Arial" w:hAnsi="微软雅黑" w:eastAsia="微软雅黑" w:cs="Arial"/>
                <w:color w:val="000000"/>
                <w:sz w:val="16"/>
                <w:szCs w:val="16"/>
              </w:rPr>
              <w:t>第</w:t>
            </w:r>
            <w:r>
              <w:rPr>
                <w:rFonts w:ascii="Arial" w:hAnsi="Arial" w:eastAsia="微软雅黑" w:cs="Arial"/>
                <w:color w:val="000000"/>
                <w:sz w:val="16"/>
                <w:szCs w:val="16"/>
              </w:rPr>
              <w:t>5</w:t>
            </w:r>
            <w:r>
              <w:rPr>
                <w:rFonts w:hint="eastAsia" w:ascii="Arial" w:hAnsi="微软雅黑" w:eastAsia="微软雅黑" w:cs="Arial"/>
                <w:color w:val="000000"/>
                <w:sz w:val="16"/>
                <w:szCs w:val="16"/>
              </w:rPr>
              <w:t>学期进行</w:t>
            </w:r>
          </w:p>
        </w:tc>
        <w:tc>
          <w:tcPr>
            <w:tcW w:w="588"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r>
        <w:tblPrEx>
          <w:tblCellMar>
            <w:top w:w="0" w:type="dxa"/>
            <w:left w:w="0" w:type="dxa"/>
            <w:bottom w:w="0" w:type="dxa"/>
            <w:right w:w="0" w:type="dxa"/>
          </w:tblCellMar>
        </w:tblPrEx>
        <w:trPr>
          <w:trHeight w:val="1359" w:hRule="atLeast"/>
        </w:trPr>
        <w:tc>
          <w:tcPr>
            <w:tcW w:w="784"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ind w:right="115" w:firstLine="101"/>
              <w:jc w:val="center"/>
              <w:rPr>
                <w:rFonts w:ascii="Arial" w:hAnsi="Arial" w:eastAsia="宋体" w:cs="Arial"/>
                <w:kern w:val="0"/>
                <w:sz w:val="36"/>
                <w:szCs w:val="36"/>
              </w:rPr>
            </w:pPr>
            <w:r>
              <w:rPr>
                <w:rFonts w:hint="eastAsia" w:ascii="Arial" w:hAnsi="微软雅黑" w:eastAsia="微软雅黑" w:cs="Arial"/>
                <w:color w:val="000000"/>
                <w:kern w:val="0"/>
                <w:sz w:val="16"/>
                <w:szCs w:val="16"/>
              </w:rPr>
              <w:t>学术活动</w:t>
            </w:r>
          </w:p>
        </w:tc>
        <w:tc>
          <w:tcPr>
            <w:tcW w:w="843"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left"/>
              <w:rPr>
                <w:rFonts w:ascii="Arial" w:hAnsi="Arial" w:eastAsia="宋体" w:cs="Arial"/>
                <w:kern w:val="0"/>
                <w:sz w:val="36"/>
                <w:szCs w:val="36"/>
              </w:rPr>
            </w:pPr>
            <w:r>
              <w:rPr>
                <w:rFonts w:ascii="Arial" w:hAnsi="Arial" w:eastAsia="微软雅黑" w:cs="Arial"/>
                <w:color w:val="000000"/>
                <w:sz w:val="16"/>
                <w:szCs w:val="16"/>
              </w:rPr>
              <w:t> </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学术活动的主要形式包括听学术报告、专家讲座，参加学术会议、参加学校或省级研究生论坛报告会、研讨等</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 </w:t>
            </w:r>
          </w:p>
        </w:tc>
        <w:tc>
          <w:tcPr>
            <w:tcW w:w="647"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left"/>
              <w:rPr>
                <w:rFonts w:ascii="Arial" w:hAnsi="Arial" w:eastAsia="宋体" w:cs="Arial"/>
                <w:kern w:val="0"/>
                <w:sz w:val="36"/>
                <w:szCs w:val="36"/>
              </w:rPr>
            </w:pPr>
            <w:r>
              <w:rPr>
                <w:rFonts w:hint="eastAsia" w:ascii="Arial" w:hAnsi="微软雅黑" w:eastAsia="微软雅黑" w:cs="Arial"/>
                <w:color w:val="000000"/>
                <w:sz w:val="16"/>
                <w:szCs w:val="16"/>
              </w:rPr>
              <w:t>须参加学术活动</w:t>
            </w:r>
            <w:r>
              <w:rPr>
                <w:rFonts w:ascii="Arial" w:hAnsi="Arial" w:eastAsia="微软雅黑" w:cs="Arial"/>
                <w:color w:val="000000"/>
                <w:sz w:val="16"/>
                <w:szCs w:val="16"/>
              </w:rPr>
              <w:t>10</w:t>
            </w:r>
            <w:r>
              <w:rPr>
                <w:rFonts w:hint="eastAsia" w:ascii="Arial" w:hAnsi="微软雅黑" w:eastAsia="微软雅黑" w:cs="Arial"/>
                <w:color w:val="000000"/>
                <w:sz w:val="16"/>
                <w:szCs w:val="16"/>
              </w:rPr>
              <w:t>次以上，其中本人主讲报告至少一次</w:t>
            </w:r>
          </w:p>
        </w:tc>
        <w:tc>
          <w:tcPr>
            <w:tcW w:w="588"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599"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周六、周日</w:t>
            </w:r>
          </w:p>
        </w:tc>
      </w:tr>
    </w:tbl>
    <w:p>
      <w:pPr>
        <w:widowControl/>
        <w:spacing w:line="504" w:lineRule="atLeast"/>
        <w:ind w:firstLine="480"/>
        <w:jc w:val="center"/>
        <w:rPr>
          <w:rFonts w:hint="eastAsia" w:ascii="黑体" w:hAnsi="黑体" w:eastAsia="黑体" w:cs="宋体"/>
          <w:b/>
          <w:bCs/>
          <w:color w:val="585858"/>
          <w:kern w:val="0"/>
          <w:sz w:val="28"/>
          <w:szCs w:val="28"/>
        </w:rPr>
      </w:pP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※申请条件※</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一、遵守法律、法规，品行端正；</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二、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※学习年限及收费※</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一、同等学力申请硕士学位分为两个阶段：课程学习阶段（简称第一阶段）和撰写学位论文及答辩阶段（简称第二阶段）。申请人自通过资格审查之日起，须在八年内完成两个阶段的学习。</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二、第一阶段：申请人自通过资格审查之日起，1-2年</w:t>
      </w:r>
      <w:r>
        <w:rPr>
          <w:rFonts w:ascii="仿宋" w:hAnsi="仿宋" w:eastAsia="仿宋" w:cs="宋体"/>
          <w:color w:val="585858"/>
          <w:kern w:val="0"/>
          <w:sz w:val="28"/>
          <w:szCs w:val="28"/>
        </w:rPr>
        <w:t>内</w:t>
      </w:r>
      <w:r>
        <w:rPr>
          <w:rFonts w:hint="eastAsia" w:ascii="仿宋" w:hAnsi="仿宋" w:eastAsia="仿宋" w:cs="宋体"/>
          <w:color w:val="585858"/>
          <w:kern w:val="0"/>
          <w:sz w:val="28"/>
          <w:szCs w:val="28"/>
        </w:rPr>
        <w:t>完成学校组织的全部课程考试，</w:t>
      </w:r>
      <w:r>
        <w:rPr>
          <w:rFonts w:ascii="仿宋" w:hAnsi="仿宋" w:eastAsia="仿宋" w:cs="宋体"/>
          <w:color w:val="585858"/>
          <w:kern w:val="0"/>
          <w:sz w:val="28"/>
          <w:szCs w:val="28"/>
        </w:rPr>
        <w:t>并在</w:t>
      </w:r>
      <w:r>
        <w:rPr>
          <w:rFonts w:hint="eastAsia" w:ascii="仿宋" w:hAnsi="仿宋" w:eastAsia="仿宋" w:cs="宋体"/>
          <w:color w:val="585858"/>
          <w:kern w:val="0"/>
          <w:sz w:val="28"/>
          <w:szCs w:val="28"/>
        </w:rPr>
        <w:t>6年</w:t>
      </w:r>
      <w:r>
        <w:rPr>
          <w:rFonts w:ascii="仿宋" w:hAnsi="仿宋" w:eastAsia="仿宋" w:cs="宋体"/>
          <w:color w:val="585858"/>
          <w:kern w:val="0"/>
          <w:sz w:val="28"/>
          <w:szCs w:val="28"/>
        </w:rPr>
        <w:t>内</w:t>
      </w:r>
      <w:r>
        <w:rPr>
          <w:rFonts w:hint="eastAsia" w:ascii="仿宋" w:hAnsi="仿宋" w:eastAsia="仿宋" w:cs="宋体"/>
          <w:color w:val="585858"/>
          <w:kern w:val="0"/>
          <w:sz w:val="28"/>
          <w:szCs w:val="28"/>
        </w:rPr>
        <w:t>通</w:t>
      </w:r>
      <w:r>
        <w:rPr>
          <w:rFonts w:ascii="仿宋" w:hAnsi="仿宋" w:eastAsia="仿宋" w:cs="宋体"/>
          <w:color w:val="585858"/>
          <w:kern w:val="0"/>
          <w:sz w:val="28"/>
          <w:szCs w:val="28"/>
        </w:rPr>
        <w:t>过</w:t>
      </w:r>
      <w:r>
        <w:rPr>
          <w:rFonts w:hint="eastAsia" w:ascii="仿宋" w:hAnsi="仿宋" w:eastAsia="仿宋" w:cs="宋体"/>
          <w:color w:val="585858"/>
          <w:kern w:val="0"/>
          <w:sz w:val="28"/>
          <w:szCs w:val="28"/>
        </w:rPr>
        <w:t>国家组织的全</w:t>
      </w:r>
      <w:r>
        <w:rPr>
          <w:rFonts w:ascii="仿宋" w:hAnsi="仿宋" w:eastAsia="仿宋" w:cs="宋体"/>
          <w:color w:val="585858"/>
          <w:kern w:val="0"/>
          <w:sz w:val="28"/>
          <w:szCs w:val="28"/>
        </w:rPr>
        <w:t>部</w:t>
      </w:r>
      <w:r>
        <w:rPr>
          <w:rFonts w:hint="eastAsia" w:ascii="仿宋" w:hAnsi="仿宋" w:eastAsia="仿宋" w:cs="宋体"/>
          <w:color w:val="585858"/>
          <w:kern w:val="0"/>
          <w:sz w:val="28"/>
          <w:szCs w:val="28"/>
        </w:rPr>
        <w:t>水平考试，且成绩合格。未通过课程考试和国家组织的水平考试者，本次申请无效。</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三、第二阶段：申请人通过学位授予单位组织的全部课程考试和国家组织的水平考试后，完成学位论文的开题、撰写和答辩。</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四、收费标准：</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第一阶段：课</w:t>
      </w:r>
      <w:r>
        <w:rPr>
          <w:rFonts w:ascii="仿宋" w:hAnsi="仿宋" w:eastAsia="仿宋" w:cs="宋体"/>
          <w:color w:val="585858"/>
          <w:kern w:val="0"/>
          <w:sz w:val="28"/>
          <w:szCs w:val="28"/>
        </w:rPr>
        <w:t>程学习培养费</w:t>
      </w:r>
      <w:r>
        <w:rPr>
          <w:rFonts w:hint="eastAsia" w:ascii="仿宋" w:hAnsi="仿宋" w:eastAsia="仿宋" w:cs="宋体"/>
          <w:color w:val="585858"/>
          <w:kern w:val="0"/>
          <w:sz w:val="28"/>
          <w:szCs w:val="28"/>
        </w:rPr>
        <w:t>22000元</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第二阶段：学</w:t>
      </w:r>
      <w:r>
        <w:rPr>
          <w:rFonts w:ascii="仿宋" w:hAnsi="仿宋" w:eastAsia="仿宋" w:cs="宋体"/>
          <w:color w:val="585858"/>
          <w:kern w:val="0"/>
          <w:sz w:val="28"/>
          <w:szCs w:val="28"/>
        </w:rPr>
        <w:t>位申请费</w:t>
      </w:r>
      <w:r>
        <w:rPr>
          <w:rFonts w:hint="eastAsia" w:ascii="仿宋" w:hAnsi="仿宋" w:eastAsia="仿宋" w:cs="宋体"/>
          <w:color w:val="585858"/>
          <w:kern w:val="0"/>
          <w:sz w:val="28"/>
          <w:szCs w:val="28"/>
        </w:rPr>
        <w:t>12000元</w:t>
      </w:r>
    </w:p>
    <w:p>
      <w:pPr>
        <w:snapToGrid w:val="0"/>
        <w:spacing w:line="408" w:lineRule="auto"/>
        <w:ind w:firstLine="560" w:firstLineChars="200"/>
        <w:jc w:val="left"/>
        <w:rPr>
          <w:rFonts w:ascii="仿宋" w:hAnsi="仿宋" w:eastAsia="仿宋" w:cs="宋体"/>
          <w:b/>
          <w:color w:val="585858"/>
          <w:kern w:val="0"/>
          <w:sz w:val="28"/>
          <w:szCs w:val="28"/>
        </w:rPr>
      </w:pPr>
      <w:r>
        <w:rPr>
          <w:rFonts w:ascii="仿宋" w:hAnsi="仿宋" w:eastAsia="仿宋" w:cs="宋体"/>
          <w:color w:val="585858"/>
          <w:kern w:val="0"/>
          <w:sz w:val="28"/>
          <w:szCs w:val="28"/>
        </w:rPr>
        <w:t>申请人须按时缴纳学费</w:t>
      </w:r>
      <w:r>
        <w:rPr>
          <w:rFonts w:hint="eastAsia" w:ascii="仿宋" w:hAnsi="仿宋" w:eastAsia="仿宋" w:cs="宋体"/>
          <w:color w:val="585858"/>
          <w:kern w:val="0"/>
          <w:sz w:val="28"/>
          <w:szCs w:val="28"/>
        </w:rPr>
        <w:t>到</w:t>
      </w:r>
      <w:r>
        <w:rPr>
          <w:rFonts w:ascii="仿宋" w:hAnsi="仿宋" w:eastAsia="仿宋" w:cs="宋体"/>
          <w:color w:val="585858"/>
          <w:kern w:val="0"/>
          <w:sz w:val="28"/>
          <w:szCs w:val="28"/>
        </w:rPr>
        <w:t>学校财务</w:t>
      </w:r>
      <w:r>
        <w:rPr>
          <w:rFonts w:hint="eastAsia" w:ascii="仿宋" w:hAnsi="仿宋" w:eastAsia="仿宋" w:cs="宋体"/>
          <w:color w:val="585858"/>
          <w:kern w:val="0"/>
          <w:sz w:val="28"/>
          <w:szCs w:val="28"/>
        </w:rPr>
        <w:t>账</w:t>
      </w:r>
      <w:r>
        <w:rPr>
          <w:rFonts w:ascii="仿宋" w:hAnsi="仿宋" w:eastAsia="仿宋" w:cs="宋体"/>
          <w:color w:val="585858"/>
          <w:kern w:val="0"/>
          <w:sz w:val="28"/>
          <w:szCs w:val="28"/>
        </w:rPr>
        <w:t>号，具体收费标准以当年度审批备案标准为准。</w:t>
      </w:r>
      <w:r>
        <w:rPr>
          <w:rFonts w:hint="eastAsia" w:ascii="仿宋" w:hAnsi="仿宋" w:eastAsia="仿宋" w:cs="宋体"/>
          <w:color w:val="585858"/>
          <w:kern w:val="0"/>
          <w:sz w:val="28"/>
          <w:szCs w:val="28"/>
        </w:rPr>
        <w:t>学</w:t>
      </w:r>
      <w:r>
        <w:rPr>
          <w:rFonts w:ascii="仿宋" w:hAnsi="仿宋" w:eastAsia="仿宋" w:cs="宋体"/>
          <w:color w:val="585858"/>
          <w:kern w:val="0"/>
          <w:sz w:val="28"/>
          <w:szCs w:val="28"/>
        </w:rPr>
        <w:t>位申请</w:t>
      </w:r>
      <w:r>
        <w:rPr>
          <w:rFonts w:hint="eastAsia" w:ascii="仿宋" w:hAnsi="仿宋" w:eastAsia="仿宋" w:cs="宋体"/>
          <w:color w:val="585858"/>
          <w:kern w:val="0"/>
          <w:sz w:val="28"/>
          <w:szCs w:val="28"/>
        </w:rPr>
        <w:t>费在通过学位相关考试进入论文写作环节时交清。</w:t>
      </w:r>
      <w:r>
        <w:rPr>
          <w:rFonts w:hint="eastAsia" w:ascii="仿宋" w:hAnsi="仿宋" w:eastAsia="仿宋" w:cs="宋体"/>
          <w:b/>
          <w:color w:val="585858"/>
          <w:kern w:val="0"/>
          <w:sz w:val="28"/>
          <w:szCs w:val="28"/>
        </w:rPr>
        <w:t>学</w:t>
      </w:r>
      <w:r>
        <w:rPr>
          <w:rFonts w:ascii="仿宋" w:hAnsi="仿宋" w:eastAsia="仿宋" w:cs="宋体"/>
          <w:b/>
          <w:color w:val="585858"/>
          <w:kern w:val="0"/>
          <w:sz w:val="28"/>
          <w:szCs w:val="28"/>
        </w:rPr>
        <w:t>校未委托任何第三方机构或个人代理本项目招生、培训及收费等事宜</w:t>
      </w:r>
      <w:r>
        <w:rPr>
          <w:rFonts w:hint="eastAsia" w:ascii="仿宋" w:hAnsi="仿宋" w:eastAsia="仿宋" w:cs="宋体"/>
          <w:b/>
          <w:color w:val="585858"/>
          <w:kern w:val="0"/>
          <w:sz w:val="28"/>
          <w:szCs w:val="28"/>
        </w:rPr>
        <w:t>，所有费用一经交纳，概不退回。</w:t>
      </w:r>
    </w:p>
    <w:p>
      <w:pPr>
        <w:widowControl/>
        <w:spacing w:line="504" w:lineRule="atLeast"/>
        <w:ind w:firstLine="480"/>
        <w:jc w:val="left"/>
        <w:rPr>
          <w:rFonts w:ascii="仿宋" w:hAnsi="仿宋" w:eastAsia="仿宋" w:cs="宋体"/>
          <w:b/>
          <w:color w:val="585858"/>
          <w:kern w:val="0"/>
          <w:sz w:val="28"/>
          <w:szCs w:val="28"/>
        </w:rPr>
      </w:pPr>
    </w:p>
    <w:p>
      <w:pPr>
        <w:widowControl/>
        <w:spacing w:line="504" w:lineRule="atLeast"/>
        <w:ind w:firstLine="480"/>
        <w:jc w:val="left"/>
        <w:rPr>
          <w:rFonts w:ascii="黑体" w:hAnsi="黑体" w:eastAsia="黑体" w:cs="宋体"/>
          <w:bCs/>
          <w:color w:val="585858"/>
          <w:kern w:val="0"/>
          <w:sz w:val="28"/>
          <w:szCs w:val="28"/>
        </w:rPr>
      </w:pPr>
      <w:r>
        <w:rPr>
          <w:rFonts w:hint="eastAsia" w:ascii="仿宋" w:hAnsi="仿宋" w:eastAsia="仿宋" w:cs="宋体"/>
          <w:color w:val="585858"/>
          <w:kern w:val="0"/>
          <w:sz w:val="28"/>
          <w:szCs w:val="28"/>
        </w:rPr>
        <w:t>申请步骤和缴费方式详见《湖南科技大学2023年同等学力人员申请硕士学位招生简章》。</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※颁发证书※</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1、申</w:t>
      </w:r>
      <w:r>
        <w:rPr>
          <w:rFonts w:ascii="仿宋" w:hAnsi="仿宋" w:eastAsia="仿宋" w:cs="宋体"/>
          <w:color w:val="585858"/>
          <w:kern w:val="0"/>
          <w:sz w:val="28"/>
          <w:szCs w:val="28"/>
        </w:rPr>
        <w:t>请人</w:t>
      </w:r>
      <w:r>
        <w:rPr>
          <w:rFonts w:hint="eastAsia" w:ascii="仿宋" w:hAnsi="仿宋" w:eastAsia="仿宋" w:cs="宋体"/>
          <w:color w:val="585858"/>
          <w:kern w:val="0"/>
          <w:sz w:val="28"/>
          <w:szCs w:val="28"/>
        </w:rPr>
        <w:t>在学校规定学习年限内，修完培养方案规定的全部课程，但因未能完成学位论文等原因而未获学位者，学校准予结业，发给结业证书。</w:t>
      </w:r>
    </w:p>
    <w:p>
      <w:pPr>
        <w:widowControl/>
        <w:spacing w:line="504" w:lineRule="atLeast"/>
        <w:ind w:firstLine="480"/>
        <w:jc w:val="left"/>
        <w:rPr>
          <w:rFonts w:ascii="仿宋" w:hAnsi="仿宋" w:eastAsia="仿宋" w:cs="宋体"/>
          <w:color w:val="585858"/>
          <w:kern w:val="0"/>
          <w:sz w:val="28"/>
          <w:szCs w:val="28"/>
        </w:rPr>
      </w:pPr>
      <w:r>
        <w:rPr>
          <w:rFonts w:hint="eastAsia" w:ascii="仿宋" w:hAnsi="仿宋" w:eastAsia="仿宋" w:cs="宋体"/>
          <w:color w:val="585858"/>
          <w:kern w:val="0"/>
          <w:sz w:val="28"/>
          <w:szCs w:val="28"/>
        </w:rPr>
        <w:t>2、申请硕士学位者，参照《国务院学位委员会关于授予具有研究生毕业同等学力硕士学位的规定》要求，按</w:t>
      </w:r>
      <w:r>
        <w:rPr>
          <w:rFonts w:ascii="仿宋" w:hAnsi="仿宋" w:eastAsia="仿宋" w:cs="宋体"/>
          <w:color w:val="585858"/>
          <w:kern w:val="0"/>
          <w:sz w:val="28"/>
          <w:szCs w:val="28"/>
        </w:rPr>
        <w:t>时</w:t>
      </w:r>
      <w:r>
        <w:rPr>
          <w:rFonts w:hint="eastAsia" w:ascii="仿宋" w:hAnsi="仿宋" w:eastAsia="仿宋" w:cs="宋体"/>
          <w:color w:val="585858"/>
          <w:kern w:val="0"/>
          <w:sz w:val="28"/>
          <w:szCs w:val="28"/>
        </w:rPr>
        <w:t>通过国家统考的外语水平考试和论文答辩，按照湖南科技大学申请同等学力硕士学位的流程完成各项申请工作，经学校学位委员会评定通过，可授予安全科学与工程硕士学位。</w:t>
      </w:r>
    </w:p>
    <w:p>
      <w:pPr>
        <w:widowControl/>
        <w:spacing w:line="504" w:lineRule="atLeast"/>
        <w:ind w:firstLine="480"/>
        <w:jc w:val="center"/>
        <w:rPr>
          <w:rFonts w:ascii="黑体" w:hAnsi="黑体" w:eastAsia="黑体" w:cs="宋体"/>
          <w:b/>
          <w:bCs/>
          <w:color w:val="585858"/>
          <w:kern w:val="0"/>
          <w:sz w:val="28"/>
          <w:szCs w:val="28"/>
        </w:rPr>
      </w:pPr>
      <w:r>
        <w:rPr>
          <w:rFonts w:hint="eastAsia" w:ascii="黑体" w:hAnsi="黑体" w:eastAsia="黑体" w:cs="宋体"/>
          <w:b/>
          <w:bCs/>
          <w:color w:val="585858"/>
          <w:kern w:val="0"/>
          <w:sz w:val="28"/>
          <w:szCs w:val="28"/>
        </w:rPr>
        <w:t>※报名咨询※</w:t>
      </w:r>
    </w:p>
    <w:p>
      <w:pPr>
        <w:widowControl/>
        <w:spacing w:line="504" w:lineRule="atLeast"/>
        <w:ind w:firstLine="480"/>
        <w:jc w:val="left"/>
        <w:rPr>
          <w:rFonts w:hint="eastAsia" w:ascii="仿宋" w:hAnsi="仿宋" w:eastAsia="仿宋" w:cs="宋体"/>
          <w:color w:val="585858"/>
          <w:kern w:val="0"/>
          <w:sz w:val="28"/>
          <w:szCs w:val="28"/>
        </w:rPr>
      </w:pPr>
      <w:r>
        <w:rPr>
          <w:rFonts w:hint="eastAsia" w:ascii="仿宋" w:hAnsi="仿宋" w:eastAsia="仿宋" w:cs="宋体"/>
          <w:color w:val="585858"/>
          <w:kern w:val="0"/>
          <w:sz w:val="28"/>
          <w:szCs w:val="28"/>
        </w:rPr>
        <w:t>地址：湖南科技大学资</w:t>
      </w:r>
      <w:r>
        <w:rPr>
          <w:rFonts w:hint="eastAsia" w:ascii="仿宋" w:hAnsi="仿宋" w:eastAsia="仿宋" w:cs="宋体"/>
          <w:color w:val="585858"/>
          <w:kern w:val="0"/>
          <w:sz w:val="28"/>
          <w:szCs w:val="28"/>
          <w:lang w:val="en-US" w:eastAsia="zh-CN"/>
        </w:rPr>
        <w:t>源环境与安全工程</w:t>
      </w:r>
      <w:r>
        <w:rPr>
          <w:rFonts w:hint="eastAsia" w:ascii="仿宋" w:hAnsi="仿宋" w:eastAsia="仿宋" w:cs="宋体"/>
          <w:color w:val="585858"/>
          <w:kern w:val="0"/>
          <w:sz w:val="28"/>
          <w:szCs w:val="28"/>
        </w:rPr>
        <w:t>学院1号楼3</w:t>
      </w:r>
      <w:r>
        <w:rPr>
          <w:rFonts w:hint="eastAsia" w:ascii="仿宋" w:hAnsi="仿宋" w:eastAsia="仿宋" w:cs="宋体"/>
          <w:color w:val="585858"/>
          <w:kern w:val="0"/>
          <w:sz w:val="28"/>
          <w:szCs w:val="28"/>
          <w:lang w:val="en-US" w:eastAsia="zh-CN"/>
        </w:rPr>
        <w:t>0</w:t>
      </w:r>
      <w:r>
        <w:rPr>
          <w:rFonts w:hint="eastAsia" w:ascii="仿宋" w:hAnsi="仿宋" w:eastAsia="仿宋" w:cs="宋体"/>
          <w:color w:val="585858"/>
          <w:kern w:val="0"/>
          <w:sz w:val="28"/>
          <w:szCs w:val="28"/>
        </w:rPr>
        <w:t>3办公室</w:t>
      </w:r>
    </w:p>
    <w:p>
      <w:pPr>
        <w:widowControl/>
        <w:spacing w:line="504" w:lineRule="atLeast"/>
        <w:ind w:firstLine="480"/>
        <w:jc w:val="left"/>
        <w:rPr>
          <w:rFonts w:hint="eastAsia"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联系人：</w:t>
      </w:r>
      <w:r>
        <w:rPr>
          <w:rFonts w:hint="eastAsia" w:ascii="仿宋" w:hAnsi="仿宋" w:eastAsia="仿宋" w:cs="宋体"/>
          <w:color w:val="585858"/>
          <w:kern w:val="0"/>
          <w:sz w:val="28"/>
          <w:szCs w:val="28"/>
          <w:lang w:val="en-US" w:eastAsia="zh-CN"/>
        </w:rPr>
        <w:t>吴赛辉老师</w:t>
      </w:r>
    </w:p>
    <w:p>
      <w:pPr>
        <w:widowControl/>
        <w:spacing w:line="504" w:lineRule="atLeast"/>
        <w:ind w:firstLine="480"/>
        <w:jc w:val="left"/>
        <w:rPr>
          <w:rFonts w:hint="eastAsia"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手机：</w:t>
      </w:r>
      <w:r>
        <w:rPr>
          <w:rFonts w:hint="eastAsia" w:ascii="仿宋" w:hAnsi="仿宋" w:eastAsia="仿宋" w:cs="宋体"/>
          <w:color w:val="585858"/>
          <w:kern w:val="0"/>
          <w:sz w:val="28"/>
          <w:szCs w:val="28"/>
          <w:lang w:val="en-US" w:eastAsia="zh-CN"/>
        </w:rPr>
        <w:t>15898568686</w:t>
      </w:r>
    </w:p>
    <w:p>
      <w:pPr>
        <w:widowControl/>
        <w:spacing w:line="504" w:lineRule="atLeast"/>
        <w:ind w:firstLine="480"/>
        <w:jc w:val="left"/>
        <w:rPr>
          <w:rFonts w:hint="eastAsia"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座机：0731-58290</w:t>
      </w:r>
      <w:r>
        <w:rPr>
          <w:rFonts w:hint="eastAsia" w:ascii="仿宋" w:hAnsi="仿宋" w:eastAsia="仿宋" w:cs="宋体"/>
          <w:color w:val="585858"/>
          <w:kern w:val="0"/>
          <w:sz w:val="28"/>
          <w:szCs w:val="28"/>
          <w:lang w:val="en-US" w:eastAsia="zh-CN"/>
        </w:rPr>
        <w:t>181</w:t>
      </w:r>
      <w:bookmarkStart w:id="0" w:name="_GoBack"/>
      <w:bookmarkEnd w:id="0"/>
    </w:p>
    <w:p>
      <w:pPr>
        <w:widowControl/>
        <w:spacing w:line="504" w:lineRule="atLeast"/>
        <w:ind w:firstLine="480"/>
        <w:jc w:val="left"/>
        <w:rPr>
          <w:rFonts w:hint="default" w:ascii="仿宋" w:hAnsi="仿宋" w:eastAsia="仿宋" w:cs="宋体"/>
          <w:color w:val="585858"/>
          <w:kern w:val="0"/>
          <w:sz w:val="28"/>
          <w:szCs w:val="28"/>
          <w:lang w:val="en-US" w:eastAsia="zh-CN"/>
        </w:rPr>
      </w:pPr>
    </w:p>
    <w:p>
      <w:pPr>
        <w:widowControl/>
        <w:spacing w:line="504" w:lineRule="atLeast"/>
        <w:ind w:firstLine="480"/>
        <w:jc w:val="left"/>
        <w:rPr>
          <w:rFonts w:hint="default"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负责人：</w:t>
      </w:r>
      <w:r>
        <w:rPr>
          <w:rFonts w:hint="eastAsia" w:ascii="仿宋" w:hAnsi="仿宋" w:eastAsia="仿宋" w:cs="宋体"/>
          <w:color w:val="585858"/>
          <w:kern w:val="0"/>
          <w:sz w:val="28"/>
          <w:szCs w:val="28"/>
          <w:lang w:val="en-US" w:eastAsia="zh-CN"/>
        </w:rPr>
        <w:t>赵延林副院长</w:t>
      </w:r>
    </w:p>
    <w:p>
      <w:pPr>
        <w:widowControl/>
        <w:spacing w:line="504" w:lineRule="atLeast"/>
        <w:ind w:firstLine="480"/>
        <w:jc w:val="left"/>
        <w:rPr>
          <w:rFonts w:hint="eastAsia"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手机：</w:t>
      </w:r>
      <w:r>
        <w:rPr>
          <w:rFonts w:hint="eastAsia" w:ascii="仿宋" w:hAnsi="仿宋" w:eastAsia="仿宋" w:cs="宋体"/>
          <w:color w:val="585858"/>
          <w:kern w:val="0"/>
          <w:sz w:val="28"/>
          <w:szCs w:val="28"/>
          <w:lang w:val="en-US" w:eastAsia="zh-CN"/>
        </w:rPr>
        <w:t>13974963257</w:t>
      </w:r>
    </w:p>
    <w:p>
      <w:pPr>
        <w:widowControl/>
        <w:spacing w:line="504" w:lineRule="atLeast"/>
        <w:ind w:firstLine="480"/>
        <w:jc w:val="left"/>
        <w:rPr>
          <w:rFonts w:hint="default" w:ascii="仿宋" w:hAnsi="仿宋" w:eastAsia="仿宋" w:cs="宋体"/>
          <w:color w:val="585858"/>
          <w:kern w:val="0"/>
          <w:sz w:val="28"/>
          <w:szCs w:val="28"/>
          <w:lang w:val="en-US" w:eastAsia="zh-CN"/>
        </w:rPr>
      </w:pPr>
      <w:r>
        <w:rPr>
          <w:rFonts w:hint="eastAsia" w:ascii="仿宋" w:hAnsi="仿宋" w:eastAsia="仿宋" w:cs="宋体"/>
          <w:color w:val="585858"/>
          <w:kern w:val="0"/>
          <w:sz w:val="28"/>
          <w:szCs w:val="28"/>
        </w:rPr>
        <w:t>座机：0731-58290</w:t>
      </w:r>
      <w:r>
        <w:rPr>
          <w:rFonts w:hint="eastAsia" w:ascii="仿宋" w:hAnsi="仿宋" w:eastAsia="仿宋" w:cs="宋体"/>
          <w:color w:val="585858"/>
          <w:kern w:val="0"/>
          <w:sz w:val="28"/>
          <w:szCs w:val="28"/>
          <w:lang w:val="en-US" w:eastAsia="zh-CN"/>
        </w:rPr>
        <w:t>040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N2NmMGVhNjVhYmQ4MjM2YjA1OTI0ZDUyMmUwYzAifQ=="/>
  </w:docVars>
  <w:rsids>
    <w:rsidRoot w:val="00617F42"/>
    <w:rsid w:val="00095E3C"/>
    <w:rsid w:val="00124EEE"/>
    <w:rsid w:val="00131E4D"/>
    <w:rsid w:val="00137C7F"/>
    <w:rsid w:val="00171EF9"/>
    <w:rsid w:val="00175735"/>
    <w:rsid w:val="002E004B"/>
    <w:rsid w:val="002F1FB2"/>
    <w:rsid w:val="00383F61"/>
    <w:rsid w:val="003D718F"/>
    <w:rsid w:val="003E0853"/>
    <w:rsid w:val="00411B47"/>
    <w:rsid w:val="00456917"/>
    <w:rsid w:val="004646A3"/>
    <w:rsid w:val="004708EA"/>
    <w:rsid w:val="00527A56"/>
    <w:rsid w:val="00542287"/>
    <w:rsid w:val="00617F42"/>
    <w:rsid w:val="00620830"/>
    <w:rsid w:val="006B404B"/>
    <w:rsid w:val="007125A9"/>
    <w:rsid w:val="00764C07"/>
    <w:rsid w:val="007C67FB"/>
    <w:rsid w:val="007E6A71"/>
    <w:rsid w:val="00874B9B"/>
    <w:rsid w:val="00937EEF"/>
    <w:rsid w:val="009A4F23"/>
    <w:rsid w:val="009F2A3F"/>
    <w:rsid w:val="00A82B50"/>
    <w:rsid w:val="00A946DA"/>
    <w:rsid w:val="00AA5619"/>
    <w:rsid w:val="00AF1CFF"/>
    <w:rsid w:val="00B2355D"/>
    <w:rsid w:val="00B4704D"/>
    <w:rsid w:val="00C0431B"/>
    <w:rsid w:val="00C4704C"/>
    <w:rsid w:val="00C94546"/>
    <w:rsid w:val="00CD032F"/>
    <w:rsid w:val="00D631F5"/>
    <w:rsid w:val="00D7584B"/>
    <w:rsid w:val="00DA092E"/>
    <w:rsid w:val="00DB5F91"/>
    <w:rsid w:val="00E72444"/>
    <w:rsid w:val="00ED2EA7"/>
    <w:rsid w:val="00F26B5C"/>
    <w:rsid w:val="00F32CCA"/>
    <w:rsid w:val="00F62D5F"/>
    <w:rsid w:val="00F873D7"/>
    <w:rsid w:val="00FA3DA2"/>
    <w:rsid w:val="45476B31"/>
    <w:rsid w:val="71AF0BE9"/>
    <w:rsid w:val="72624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uiPriority w:val="9"/>
    <w:rPr>
      <w:rFonts w:ascii="宋体" w:hAnsi="宋体" w:eastAsia="宋体" w:cs="宋体"/>
      <w:b/>
      <w:bCs/>
      <w:kern w:val="36"/>
      <w:sz w:val="48"/>
      <w:szCs w:val="48"/>
    </w:rPr>
  </w:style>
  <w:style w:type="character" w:customStyle="1" w:styleId="11">
    <w:name w:val="日期1"/>
    <w:basedOn w:val="8"/>
    <w:uiPriority w:val="0"/>
  </w:style>
  <w:style w:type="character" w:customStyle="1" w:styleId="12">
    <w:name w:val="reads"/>
    <w:basedOn w:val="8"/>
    <w:uiPriority w:val="0"/>
  </w:style>
  <w:style w:type="paragraph" w:customStyle="1" w:styleId="13">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 w:type="character" w:customStyle="1" w:styleId="18">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1BB9-C1BD-4134-84FB-3AA46F9237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2326</Words>
  <Characters>2610</Characters>
  <Lines>20</Lines>
  <Paragraphs>5</Paragraphs>
  <TotalTime>8</TotalTime>
  <ScaleCrop>false</ScaleCrop>
  <LinksUpToDate>false</LinksUpToDate>
  <CharactersWithSpaces>2613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2023-04-20T03:34:00Z</dcterms:created>
  <dc:creator>曾治国</dc:creator>
  <cp:lastModifiedBy>lenovo</cp:lastModifiedBy>
  <dcterms:modified xsi:type="dcterms:W3CDTF">2023-04-23T07:51:19Z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7667BCFECB47498D8F0DE46DBDF86785_12</vt:lpwstr>
  </property>
</Properties>
</file>