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hint="default" w:ascii="Times New Roman" w:hAnsi="Times New Roman" w:eastAsia="等线"/>
          <w:color w:val="000000"/>
          <w:sz w:val="36"/>
          <w:szCs w:val="36"/>
          <w:shd w:val="clear" w:color="auto" w:fill="FFFFFF"/>
        </w:rPr>
      </w:pPr>
      <w:r>
        <w:rPr>
          <w:rFonts w:hint="default" w:ascii="Times New Roman" w:hAnsi="Times New Roman" w:eastAsia="等线"/>
          <w:color w:val="000000"/>
          <w:sz w:val="36"/>
          <w:szCs w:val="36"/>
          <w:shd w:val="clear" w:color="auto" w:fill="FFFFFF"/>
        </w:rPr>
        <w:t>湖南科技大学2023年</w:t>
      </w:r>
      <w:r>
        <w:rPr>
          <w:rFonts w:ascii="Times New Roman" w:hAnsi="Times New Roman" w:eastAsia="等线"/>
          <w:color w:val="000000"/>
          <w:sz w:val="36"/>
          <w:szCs w:val="36"/>
          <w:shd w:val="clear" w:color="auto" w:fill="FFFFFF"/>
        </w:rPr>
        <w:t>人文</w:t>
      </w:r>
      <w:r>
        <w:rPr>
          <w:rFonts w:hint="default" w:ascii="Times New Roman" w:hAnsi="Times New Roman" w:eastAsia="等线"/>
          <w:color w:val="000000"/>
          <w:sz w:val="36"/>
          <w:szCs w:val="36"/>
          <w:shd w:val="clear" w:color="auto" w:fill="FFFFFF"/>
        </w:rPr>
        <w:t>学院同等学力硕士学位班招生简章</w:t>
      </w:r>
    </w:p>
    <w:p>
      <w:pPr>
        <w:pStyle w:val="11"/>
        <w:numPr>
          <w:ilvl w:val="0"/>
          <w:numId w:val="1"/>
        </w:numPr>
        <w:spacing w:beforeLines="50"/>
        <w:ind w:firstLineChars="0"/>
        <w:rPr>
          <w:rFonts w:hint="eastAsia"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学院简介</w:t>
      </w:r>
    </w:p>
    <w:p>
      <w:pPr>
        <w:pStyle w:val="5"/>
        <w:widowControl/>
        <w:shd w:val="clear" w:color="auto" w:fill="FFFFFF"/>
        <w:spacing w:before="0" w:beforeAutospacing="0" w:after="0" w:afterAutospacing="0" w:line="400" w:lineRule="exact"/>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人文学院始创于1958年，是湖南科技大学成立最早的教学单位之一。学院现有教职工97人，专任教师84人，其中教授29人，副教授29人，有博士学位的教师57人，有首届全国高校百名教学名师1名，全国优秀教师1名，湖南省普通高等学校学科带头人1人，湖南省121人才工程第三层次人选2人，湖南省青年社科研究人才“百人工程”人选1人，湖南省普通高校青年骨干教师（培养对象）11人，湖南省普通高校教学奉献奖获得者1人。承担骨干老师培训和海外硕士及本科留学生培养工作。</w:t>
      </w:r>
    </w:p>
    <w:p>
      <w:pPr>
        <w:pStyle w:val="5"/>
        <w:widowControl/>
        <w:shd w:val="clear" w:color="auto" w:fill="FFFFFF"/>
        <w:spacing w:before="0" w:beforeAutospacing="0" w:after="0" w:afterAutospacing="0" w:line="400" w:lineRule="exact"/>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学院设有汉语言文学、历史学、新闻学、广告学4个本科专业。汉语言文学专业为国家级一流专业、湖南省重点专业、湖南省特色专业，历史学专业为省级重点专业和湖南省一流本科专业建设点，历史学专业教学团队为省级教学团队。</w:t>
      </w:r>
    </w:p>
    <w:p>
      <w:pPr>
        <w:pStyle w:val="5"/>
        <w:widowControl/>
        <w:shd w:val="clear" w:color="auto" w:fill="FFFFFF"/>
        <w:spacing w:before="0" w:beforeAutospacing="0" w:after="0" w:afterAutospacing="0" w:line="400" w:lineRule="exact"/>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学院现有中国语言文学和中国史2个一级学科硕士点和新闻与传播学、汉语国际教育专业学位点，有2个教育硕士专业学位点方向——学科教学（语文、历史）。中国语言文学为湖南省“十·五”至“十二·五”重点学科、博士单位建设支撑学科。学院拥有4个省级科研基地——“中国古代文学与社会文化研究基地”、“湖南省汉语方言与科技文化融合研究基地”、“湖南省首批铸牢中华民族共同体意识研究基地”和“湖南省首批省级语言文字推广基地”；1个省级研究生创新基地——“湖南省农村教育文化研究生创新基地”，1个省级研究生优秀教学团队——“语言与民俗文化教学团队”；1个本科学生省级优秀实习基地，1个省级普通高校创新创业教育中心——“人文与社会科学类创新创业教育中心”，2个省级普通高校创新创业实验基地——“融媒体建设与发展校企合作创新创业教育基地”和“文科师范类专业创新创业教育基地”、1个省级虚拟仿真实验教学项目——“公共安全事件融合新闻报道虚拟仿真实验项目”；有3个校级研究所——“湖南省非物质文化遗产研究所”“湖南地方史研究所”“地市州媒体发展研究所”。建有多功能演播厅、多功能语音室、语言实验室、新闻学与广告学专业功能齐全的实训系统。</w:t>
      </w:r>
    </w:p>
    <w:p>
      <w:pPr>
        <w:pStyle w:val="5"/>
        <w:widowControl/>
        <w:shd w:val="clear" w:color="auto" w:fill="FFFFFF"/>
        <w:spacing w:before="0" w:beforeAutospacing="0" w:after="0" w:afterAutospacing="0" w:line="400" w:lineRule="exact"/>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学院是学校“三全育人”综合改革试点学院，重视学生综合素质培养，历年在国家和省级竞赛活动中成绩优异, 毕业生考研录取率超过21%。自1996年以来持续实施突出人文基础素养和教师基本技能特色的“32111”工程，曾被《中国教育报》《湖南日报》《湖南教育报》等媒体报道。广告专业“豆沙包”创作团队被央视新闻频道、《中国教育报》、湖南卫视、广西卫视、重庆卫视等多家媒体广泛报道。学生先后获得全国教育课程改革教研成果一等奖、全国大学生广告艺术大赛一等奖、全国经典诵读大赛一等奖等。涌现出了“全国大学生自强之星”“湖南教育十大新闻人物”“湖南省百佳大学生党员”等一大批优秀学生。</w:t>
      </w:r>
    </w:p>
    <w:p>
      <w:pPr>
        <w:spacing w:beforeLines="50"/>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二、专业方向</w:t>
      </w:r>
    </w:p>
    <w:p>
      <w:pPr>
        <w:pStyle w:val="5"/>
        <w:widowControl/>
        <w:shd w:val="clear" w:color="auto" w:fill="FFFFFF"/>
        <w:spacing w:before="0" w:beforeAutospacing="0" w:after="0" w:afterAutospacing="0" w:line="400" w:lineRule="exact"/>
        <w:ind w:firstLine="480" w:firstLineChars="200"/>
        <w:rPr>
          <w:rFonts w:ascii="宋体" w:hAnsi="宋体" w:cs="宋体"/>
          <w:szCs w:val="21"/>
        </w:rPr>
      </w:pPr>
      <w:r>
        <w:rPr>
          <w:rFonts w:hint="eastAsia" w:ascii="宋体" w:hAnsi="宋体" w:cs="宋体"/>
          <w:szCs w:val="21"/>
        </w:rPr>
        <w:t>中国语言文学</w:t>
      </w:r>
    </w:p>
    <w:p>
      <w:pPr>
        <w:spacing w:beforeLines="50"/>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三、培养对象</w:t>
      </w:r>
    </w:p>
    <w:p>
      <w:pPr>
        <w:pStyle w:val="5"/>
        <w:widowControl/>
        <w:shd w:val="clear" w:color="auto" w:fill="FFFFFF"/>
        <w:spacing w:before="0" w:beforeAutospacing="0" w:after="0" w:afterAutospacing="0" w:line="400" w:lineRule="exact"/>
        <w:ind w:firstLine="480" w:firstLineChars="200"/>
        <w:rPr>
          <w:rFonts w:ascii="宋体" w:hAnsi="宋体" w:cs="宋体"/>
          <w:szCs w:val="21"/>
        </w:rPr>
      </w:pPr>
      <w:r>
        <w:rPr>
          <w:rFonts w:ascii="宋体" w:hAnsi="宋体" w:cs="宋体"/>
          <w:szCs w:val="21"/>
        </w:rPr>
        <w:t>从事本专业相关工作的在职人员</w:t>
      </w:r>
    </w:p>
    <w:p>
      <w:pPr>
        <w:spacing w:beforeLines="50"/>
        <w:rPr>
          <w:rFonts w:hint="eastAsia"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四、培养目标</w:t>
      </w:r>
    </w:p>
    <w:p>
      <w:pPr>
        <w:pStyle w:val="5"/>
        <w:widowControl/>
        <w:shd w:val="clear" w:color="auto" w:fill="FFFFFF"/>
        <w:spacing w:before="0" w:beforeAutospacing="0" w:after="0" w:afterAutospacing="0" w:line="400" w:lineRule="exact"/>
        <w:ind w:firstLine="480" w:firstLineChars="200"/>
        <w:rPr>
          <w:rFonts w:hint="eastAsia" w:ascii="宋体" w:hAnsi="宋体" w:cs="宋体"/>
          <w:szCs w:val="21"/>
        </w:rPr>
      </w:pPr>
      <w:r>
        <w:rPr>
          <w:rFonts w:hint="eastAsia" w:ascii="宋体" w:hAnsi="宋体" w:eastAsia="宋体" w:cs="宋体"/>
          <w:szCs w:val="21"/>
        </w:rPr>
        <w:t>要求掌握从事</w:t>
      </w:r>
      <w:r>
        <w:rPr>
          <w:rFonts w:hint="eastAsia" w:ascii="宋体" w:hAnsi="宋体" w:cs="宋体"/>
          <w:szCs w:val="21"/>
        </w:rPr>
        <w:t>本专业研究、</w:t>
      </w:r>
      <w:r>
        <w:rPr>
          <w:rFonts w:hint="eastAsia" w:ascii="宋体" w:hAnsi="宋体" w:eastAsia="宋体" w:cs="宋体"/>
          <w:szCs w:val="21"/>
        </w:rPr>
        <w:t>教学</w:t>
      </w:r>
      <w:r>
        <w:rPr>
          <w:rFonts w:hint="eastAsia" w:ascii="宋体" w:hAnsi="宋体" w:cs="宋体"/>
          <w:szCs w:val="21"/>
        </w:rPr>
        <w:t>与管理</w:t>
      </w:r>
      <w:r>
        <w:rPr>
          <w:rFonts w:hint="eastAsia" w:ascii="宋体" w:hAnsi="宋体" w:eastAsia="宋体" w:cs="宋体"/>
          <w:szCs w:val="21"/>
        </w:rPr>
        <w:t>工作所必需的基础理论和系统、扎实的专门知识。</w:t>
      </w:r>
      <w:r>
        <w:rPr>
          <w:rFonts w:hint="eastAsia" w:ascii="宋体" w:hAnsi="宋体" w:cs="宋体"/>
          <w:szCs w:val="21"/>
        </w:rPr>
        <w:t>在职</w:t>
      </w:r>
      <w:r>
        <w:rPr>
          <w:rFonts w:ascii="宋体" w:hAnsi="宋体" w:cs="宋体"/>
          <w:szCs w:val="21"/>
        </w:rPr>
        <w:t>培养具有</w:t>
      </w:r>
      <w:r>
        <w:rPr>
          <w:rFonts w:hint="eastAsia" w:ascii="宋体" w:hAnsi="宋体" w:eastAsia="宋体" w:cs="宋体"/>
          <w:szCs w:val="21"/>
        </w:rPr>
        <w:t>良好的公民意识和社会责任感</w:t>
      </w:r>
      <w:r>
        <w:rPr>
          <w:rFonts w:ascii="宋体" w:hAnsi="宋体" w:cs="宋体"/>
          <w:szCs w:val="21"/>
        </w:rPr>
        <w:t>、德才兼备、适应</w:t>
      </w:r>
      <w:r>
        <w:rPr>
          <w:rFonts w:hint="eastAsia" w:ascii="宋体" w:hAnsi="宋体" w:cs="宋体"/>
          <w:szCs w:val="21"/>
        </w:rPr>
        <w:t>新时代中国特色</w:t>
      </w:r>
      <w:r>
        <w:rPr>
          <w:rFonts w:ascii="宋体" w:hAnsi="宋体" w:cs="宋体"/>
          <w:szCs w:val="21"/>
        </w:rPr>
        <w:t>社会主义建设需要的高层次</w:t>
      </w:r>
      <w:r>
        <w:rPr>
          <w:rFonts w:hint="eastAsia" w:ascii="宋体" w:hAnsi="宋体" w:eastAsia="宋体" w:cs="宋体"/>
          <w:szCs w:val="21"/>
        </w:rPr>
        <w:t>中国语言文学专门人才</w:t>
      </w:r>
      <w:r>
        <w:rPr>
          <w:rFonts w:ascii="宋体" w:hAnsi="宋体" w:cs="宋体"/>
          <w:szCs w:val="21"/>
        </w:rPr>
        <w:t>。</w:t>
      </w:r>
    </w:p>
    <w:p>
      <w:pPr>
        <w:spacing w:beforeLines="50"/>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五、培养方案</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ascii="宋体" w:hAnsi="宋体" w:eastAsia="宋体" w:cs="宋体"/>
          <w:szCs w:val="21"/>
        </w:rPr>
        <w:t>同等学力人</w:t>
      </w:r>
      <w:r>
        <w:rPr>
          <w:rFonts w:hint="eastAsia" w:ascii="宋体" w:hAnsi="宋体" w:eastAsia="宋体" w:cs="宋体"/>
          <w:szCs w:val="21"/>
        </w:rPr>
        <w:t>员申请硕士学位按相应学科（专业）的学术学位硕士研究生培养方案执行。</w:t>
      </w:r>
    </w:p>
    <w:p>
      <w:pPr>
        <w:pStyle w:val="5"/>
        <w:widowControl/>
        <w:shd w:val="clear" w:color="auto" w:fill="FFFFFF"/>
        <w:spacing w:before="0" w:beforeAutospacing="0" w:after="0" w:afterAutospacing="0" w:line="480" w:lineRule="atLeast"/>
        <w:jc w:val="center"/>
        <w:rPr>
          <w:rFonts w:hint="eastAsia" w:ascii="Times New Roman" w:hAnsi="Times New Roman" w:eastAsia="宋体"/>
          <w:b/>
          <w:bCs/>
          <w:sz w:val="22"/>
          <w:szCs w:val="22"/>
        </w:rPr>
      </w:pPr>
    </w:p>
    <w:p>
      <w:pPr>
        <w:pStyle w:val="5"/>
        <w:widowControl/>
        <w:shd w:val="clear" w:color="auto" w:fill="FFFFFF"/>
        <w:spacing w:before="0" w:beforeAutospacing="0" w:after="0" w:afterAutospacing="0" w:line="480" w:lineRule="atLeast"/>
        <w:jc w:val="center"/>
        <w:rPr>
          <w:rFonts w:ascii="仿宋" w:hAnsi="仿宋" w:eastAsia="仿宋" w:cs="仿宋"/>
          <w:color w:val="585858"/>
          <w:sz w:val="28"/>
          <w:szCs w:val="28"/>
          <w:shd w:val="clear" w:color="auto" w:fill="FFFFFF"/>
        </w:rPr>
      </w:pPr>
      <w:r>
        <w:rPr>
          <w:rFonts w:hint="eastAsia" w:ascii="Times New Roman" w:hAnsi="Times New Roman" w:eastAsia="宋体"/>
          <w:b/>
          <w:bCs/>
          <w:sz w:val="22"/>
          <w:szCs w:val="22"/>
        </w:rPr>
        <w:t>同等学历中国语言文学专业培养计划（2023）</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97"/>
        <w:gridCol w:w="2743"/>
        <w:gridCol w:w="632"/>
        <w:gridCol w:w="1532"/>
        <w:gridCol w:w="65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jc w:val="center"/>
              <w:rPr>
                <w:rFonts w:ascii="Times New Roman" w:hAnsi="Times New Roman" w:eastAsia="宋体" w:cs="Times New Roman"/>
                <w:b/>
                <w:bCs/>
                <w:color w:val="585858"/>
                <w:sz w:val="18"/>
                <w:szCs w:val="18"/>
                <w:shd w:val="clear" w:color="auto" w:fill="FFFFFF"/>
              </w:rPr>
            </w:pPr>
            <w:r>
              <w:rPr>
                <w:rFonts w:ascii="Times New Roman" w:hAnsi="Times New Roman" w:eastAsia="宋体" w:cs="Times New Roman"/>
                <w:b/>
                <w:bCs/>
                <w:color w:val="585858"/>
                <w:sz w:val="18"/>
                <w:szCs w:val="18"/>
                <w:shd w:val="clear" w:color="auto" w:fill="FFFFFF"/>
              </w:rPr>
              <w:t>课程类别</w:t>
            </w:r>
          </w:p>
        </w:tc>
        <w:tc>
          <w:tcPr>
            <w:tcW w:w="997" w:type="dxa"/>
            <w:vAlign w:val="center"/>
          </w:tcPr>
          <w:p>
            <w:pPr>
              <w:jc w:val="center"/>
              <w:rPr>
                <w:rFonts w:ascii="Times New Roman" w:hAnsi="Times New Roman" w:eastAsia="宋体" w:cs="Times New Roman"/>
                <w:b/>
                <w:bCs/>
                <w:color w:val="585858"/>
                <w:sz w:val="18"/>
                <w:szCs w:val="18"/>
                <w:shd w:val="clear" w:color="auto" w:fill="FFFFFF"/>
              </w:rPr>
            </w:pPr>
            <w:r>
              <w:rPr>
                <w:rFonts w:ascii="Times New Roman" w:hAnsi="Times New Roman" w:eastAsia="宋体" w:cs="Times New Roman"/>
                <w:b/>
                <w:bCs/>
                <w:color w:val="585858"/>
                <w:sz w:val="18"/>
                <w:szCs w:val="18"/>
                <w:shd w:val="clear" w:color="auto" w:fill="FFFFFF"/>
              </w:rPr>
              <w:t>课程代码</w:t>
            </w:r>
          </w:p>
        </w:tc>
        <w:tc>
          <w:tcPr>
            <w:tcW w:w="2743" w:type="dxa"/>
            <w:vAlign w:val="center"/>
          </w:tcPr>
          <w:p>
            <w:pPr>
              <w:jc w:val="center"/>
              <w:rPr>
                <w:rFonts w:ascii="Times New Roman" w:hAnsi="Times New Roman" w:eastAsia="宋体" w:cs="Times New Roman"/>
                <w:b/>
                <w:bCs/>
                <w:color w:val="585858"/>
                <w:sz w:val="18"/>
                <w:szCs w:val="18"/>
                <w:shd w:val="clear" w:color="auto" w:fill="FFFFFF"/>
              </w:rPr>
            </w:pPr>
            <w:r>
              <w:rPr>
                <w:rFonts w:ascii="Times New Roman" w:hAnsi="Times New Roman" w:eastAsia="宋体" w:cs="Times New Roman"/>
                <w:b/>
                <w:bCs/>
                <w:color w:val="585858"/>
                <w:sz w:val="18"/>
                <w:szCs w:val="18"/>
                <w:shd w:val="clear" w:color="auto" w:fill="FFFFFF"/>
              </w:rPr>
              <w:t>课程名称</w:t>
            </w:r>
          </w:p>
        </w:tc>
        <w:tc>
          <w:tcPr>
            <w:tcW w:w="632" w:type="dxa"/>
            <w:vAlign w:val="center"/>
          </w:tcPr>
          <w:p>
            <w:pPr>
              <w:jc w:val="center"/>
              <w:rPr>
                <w:rFonts w:ascii="Times New Roman" w:hAnsi="Times New Roman" w:eastAsia="宋体" w:cs="Times New Roman"/>
                <w:b/>
                <w:bCs/>
                <w:color w:val="585858"/>
                <w:sz w:val="18"/>
                <w:szCs w:val="18"/>
                <w:shd w:val="clear" w:color="auto" w:fill="FFFFFF"/>
              </w:rPr>
            </w:pPr>
            <w:r>
              <w:rPr>
                <w:rFonts w:ascii="Times New Roman" w:hAnsi="Times New Roman" w:eastAsia="宋体" w:cs="Times New Roman"/>
                <w:b/>
                <w:bCs/>
                <w:color w:val="585858"/>
                <w:sz w:val="18"/>
                <w:szCs w:val="18"/>
                <w:shd w:val="clear" w:color="auto" w:fill="FFFFFF"/>
              </w:rPr>
              <w:t>学分</w:t>
            </w:r>
          </w:p>
        </w:tc>
        <w:tc>
          <w:tcPr>
            <w:tcW w:w="1532" w:type="dxa"/>
            <w:vAlign w:val="center"/>
          </w:tcPr>
          <w:p>
            <w:pPr>
              <w:jc w:val="center"/>
              <w:rPr>
                <w:rFonts w:ascii="Times New Roman" w:hAnsi="Times New Roman" w:eastAsia="宋体" w:cs="Times New Roman"/>
                <w:b/>
                <w:bCs/>
                <w:color w:val="585858"/>
                <w:sz w:val="18"/>
                <w:szCs w:val="18"/>
                <w:shd w:val="clear" w:color="auto" w:fill="FFFFFF"/>
              </w:rPr>
            </w:pPr>
            <w:r>
              <w:rPr>
                <w:rFonts w:ascii="Times New Roman" w:hAnsi="Times New Roman" w:eastAsia="宋体" w:cs="Times New Roman"/>
                <w:b/>
                <w:bCs/>
                <w:color w:val="585858"/>
                <w:sz w:val="18"/>
                <w:szCs w:val="18"/>
                <w:shd w:val="clear" w:color="auto" w:fill="FFFFFF"/>
              </w:rPr>
              <w:t>应修学分</w:t>
            </w:r>
          </w:p>
        </w:tc>
        <w:tc>
          <w:tcPr>
            <w:tcW w:w="654" w:type="dxa"/>
            <w:vAlign w:val="center"/>
          </w:tcPr>
          <w:p>
            <w:pPr>
              <w:jc w:val="center"/>
              <w:rPr>
                <w:rFonts w:ascii="Times New Roman" w:hAnsi="Times New Roman" w:eastAsia="宋体" w:cs="Times New Roman"/>
                <w:b/>
                <w:bCs/>
                <w:color w:val="585858"/>
                <w:sz w:val="18"/>
                <w:szCs w:val="18"/>
                <w:shd w:val="clear" w:color="auto" w:fill="FFFFFF"/>
              </w:rPr>
            </w:pPr>
            <w:r>
              <w:rPr>
                <w:rFonts w:ascii="Times New Roman" w:hAnsi="Times New Roman" w:eastAsia="宋体" w:cs="Times New Roman"/>
                <w:b/>
                <w:bCs/>
                <w:color w:val="585858"/>
                <w:sz w:val="18"/>
                <w:szCs w:val="18"/>
                <w:shd w:val="clear" w:color="auto" w:fill="FFFFFF"/>
              </w:rPr>
              <w:t>备注</w:t>
            </w:r>
          </w:p>
        </w:tc>
        <w:tc>
          <w:tcPr>
            <w:tcW w:w="993" w:type="dxa"/>
            <w:vAlign w:val="center"/>
          </w:tcPr>
          <w:p>
            <w:pPr>
              <w:jc w:val="center"/>
              <w:rPr>
                <w:rFonts w:ascii="Times New Roman" w:hAnsi="Times New Roman" w:eastAsia="宋体" w:cs="Times New Roman"/>
                <w:b/>
                <w:bCs/>
                <w:color w:val="585858"/>
                <w:sz w:val="18"/>
                <w:szCs w:val="18"/>
                <w:shd w:val="clear" w:color="auto" w:fill="FFFFFF"/>
              </w:rPr>
            </w:pPr>
            <w:r>
              <w:rPr>
                <w:rFonts w:ascii="Times New Roman" w:hAnsi="Times New Roman" w:eastAsia="宋体" w:cs="Times New Roman"/>
                <w:b/>
                <w:bCs/>
                <w:color w:val="585858"/>
                <w:sz w:val="18"/>
                <w:szCs w:val="18"/>
                <w:shd w:val="clear" w:color="auto" w:fill="FFFFFF"/>
              </w:rPr>
              <w:t>授课时间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sz w:val="15"/>
                <w:szCs w:val="15"/>
                <w:shd w:val="clear" w:color="auto" w:fill="FFFFFF"/>
              </w:rPr>
              <w:t>公共基础课</w:t>
            </w:r>
          </w:p>
        </w:tc>
        <w:tc>
          <w:tcPr>
            <w:tcW w:w="997"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G19000001</w:t>
            </w:r>
          </w:p>
        </w:tc>
        <w:tc>
          <w:tcPr>
            <w:tcW w:w="2743"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中国特色社会主义理论与实践研究</w:t>
            </w:r>
          </w:p>
        </w:tc>
        <w:tc>
          <w:tcPr>
            <w:tcW w:w="632" w:type="dxa"/>
            <w:vAlign w:val="center"/>
          </w:tcPr>
          <w:p>
            <w:pPr>
              <w:jc w:val="center"/>
              <w:rPr>
                <w:rFonts w:ascii="Times New Roman" w:hAnsi="Times New Roman" w:eastAsia="宋体" w:cs="Times New Roman"/>
                <w:sz w:val="15"/>
                <w:szCs w:val="15"/>
              </w:rPr>
            </w:pPr>
            <w:r>
              <w:rPr>
                <w:rFonts w:ascii="Times New Roman" w:hAnsi="Times New Roman" w:eastAsia="宋体" w:cs="Times New Roman"/>
                <w:sz w:val="15"/>
                <w:szCs w:val="15"/>
              </w:rPr>
              <w:t>2</w:t>
            </w:r>
          </w:p>
        </w:tc>
        <w:tc>
          <w:tcPr>
            <w:tcW w:w="1532" w:type="dxa"/>
            <w:vMerge w:val="restart"/>
            <w:vAlign w:val="center"/>
          </w:tcPr>
          <w:p>
            <w:pPr>
              <w:jc w:val="center"/>
              <w:rPr>
                <w:rFonts w:ascii="Times New Roman" w:hAnsi="Times New Roman" w:eastAsia="宋体" w:cs="Times New Roman"/>
                <w:sz w:val="15"/>
                <w:szCs w:val="15"/>
              </w:rPr>
            </w:pPr>
            <w:r>
              <w:rPr>
                <w:rFonts w:ascii="Times New Roman" w:hAnsi="Times New Roman" w:eastAsia="宋体" w:cs="Times New Roman"/>
                <w:sz w:val="15"/>
                <w:szCs w:val="15"/>
              </w:rPr>
              <w:t>必修</w:t>
            </w:r>
            <w:r>
              <w:rPr>
                <w:rFonts w:hint="eastAsia" w:ascii="Times New Roman" w:hAnsi="Times New Roman" w:eastAsia="宋体" w:cs="Times New Roman"/>
                <w:sz w:val="15"/>
                <w:szCs w:val="15"/>
              </w:rPr>
              <w:t>6</w:t>
            </w:r>
            <w:r>
              <w:rPr>
                <w:rFonts w:ascii="Times New Roman" w:hAnsi="Times New Roman" w:eastAsia="宋体" w:cs="Times New Roman"/>
                <w:sz w:val="15"/>
                <w:szCs w:val="15"/>
              </w:rPr>
              <w:t>学分</w:t>
            </w: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color w:val="585858"/>
                <w:sz w:val="15"/>
                <w:szCs w:val="15"/>
                <w:shd w:val="clear" w:color="auto" w:fill="FFFFFF"/>
              </w:rPr>
            </w:pPr>
          </w:p>
        </w:tc>
        <w:tc>
          <w:tcPr>
            <w:tcW w:w="997"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G19000002</w:t>
            </w:r>
          </w:p>
        </w:tc>
        <w:tc>
          <w:tcPr>
            <w:tcW w:w="2743"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马克思主义与社会科学方法论</w:t>
            </w:r>
          </w:p>
        </w:tc>
        <w:tc>
          <w:tcPr>
            <w:tcW w:w="632" w:type="dxa"/>
            <w:vAlign w:val="center"/>
          </w:tcPr>
          <w:p>
            <w:pPr>
              <w:jc w:val="center"/>
              <w:rPr>
                <w:rFonts w:ascii="Times New Roman" w:hAnsi="Times New Roman" w:eastAsia="宋体" w:cs="Times New Roman"/>
                <w:sz w:val="15"/>
                <w:szCs w:val="15"/>
              </w:rPr>
            </w:pPr>
            <w:r>
              <w:rPr>
                <w:rFonts w:ascii="Times New Roman" w:hAnsi="Times New Roman" w:eastAsia="宋体" w:cs="Times New Roman"/>
                <w:sz w:val="15"/>
                <w:szCs w:val="15"/>
              </w:rPr>
              <w:t>1</w:t>
            </w:r>
          </w:p>
        </w:tc>
        <w:tc>
          <w:tcPr>
            <w:tcW w:w="1532" w:type="dxa"/>
            <w:vMerge w:val="continue"/>
            <w:vAlign w:val="center"/>
          </w:tcPr>
          <w:p>
            <w:pPr>
              <w:jc w:val="center"/>
              <w:rPr>
                <w:rFonts w:ascii="Times New Roman" w:hAnsi="Times New Roman" w:eastAsia="宋体" w:cs="Times New Roman"/>
                <w:color w:val="585858"/>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color w:val="585858"/>
                <w:sz w:val="15"/>
                <w:szCs w:val="15"/>
                <w:shd w:val="clear" w:color="auto" w:fill="FFFFFF"/>
              </w:rPr>
            </w:pPr>
          </w:p>
        </w:tc>
        <w:tc>
          <w:tcPr>
            <w:tcW w:w="997"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G19000003</w:t>
            </w:r>
          </w:p>
        </w:tc>
        <w:tc>
          <w:tcPr>
            <w:tcW w:w="2743"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综合英语</w:t>
            </w:r>
          </w:p>
        </w:tc>
        <w:tc>
          <w:tcPr>
            <w:tcW w:w="632" w:type="dxa"/>
            <w:vAlign w:val="center"/>
          </w:tcPr>
          <w:p>
            <w:pPr>
              <w:jc w:val="center"/>
              <w:rPr>
                <w:rFonts w:ascii="Times New Roman" w:hAnsi="Times New Roman" w:eastAsia="宋体" w:cs="Times New Roman"/>
                <w:sz w:val="15"/>
                <w:szCs w:val="15"/>
              </w:rPr>
            </w:pPr>
            <w:r>
              <w:rPr>
                <w:rFonts w:ascii="Times New Roman" w:hAnsi="Times New Roman" w:eastAsia="宋体" w:cs="Times New Roman"/>
                <w:sz w:val="15"/>
                <w:szCs w:val="15"/>
              </w:rPr>
              <w:t>2</w:t>
            </w:r>
          </w:p>
        </w:tc>
        <w:tc>
          <w:tcPr>
            <w:tcW w:w="1532" w:type="dxa"/>
            <w:vMerge w:val="continue"/>
            <w:vAlign w:val="center"/>
          </w:tcPr>
          <w:p>
            <w:pPr>
              <w:jc w:val="center"/>
              <w:rPr>
                <w:rFonts w:ascii="Times New Roman" w:hAnsi="Times New Roman" w:eastAsia="宋体" w:cs="Times New Roman"/>
                <w:color w:val="585858"/>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color w:val="585858"/>
                <w:sz w:val="15"/>
                <w:szCs w:val="15"/>
                <w:shd w:val="clear" w:color="auto" w:fill="FFFFFF"/>
              </w:rPr>
            </w:pPr>
          </w:p>
        </w:tc>
        <w:tc>
          <w:tcPr>
            <w:tcW w:w="997"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G19000004</w:t>
            </w:r>
          </w:p>
        </w:tc>
        <w:tc>
          <w:tcPr>
            <w:tcW w:w="2743"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学术英语写作</w:t>
            </w:r>
          </w:p>
        </w:tc>
        <w:tc>
          <w:tcPr>
            <w:tcW w:w="632" w:type="dxa"/>
            <w:vAlign w:val="center"/>
          </w:tcPr>
          <w:p>
            <w:pPr>
              <w:jc w:val="center"/>
              <w:rPr>
                <w:rFonts w:ascii="Times New Roman" w:hAnsi="Times New Roman" w:eastAsia="宋体" w:cs="Times New Roman"/>
                <w:sz w:val="15"/>
                <w:szCs w:val="15"/>
              </w:rPr>
            </w:pPr>
            <w:r>
              <w:rPr>
                <w:rFonts w:ascii="Times New Roman" w:hAnsi="Times New Roman" w:eastAsia="宋体" w:cs="Times New Roman"/>
                <w:sz w:val="15"/>
                <w:szCs w:val="15"/>
              </w:rPr>
              <w:t>1</w:t>
            </w:r>
          </w:p>
        </w:tc>
        <w:tc>
          <w:tcPr>
            <w:tcW w:w="1532" w:type="dxa"/>
            <w:vMerge w:val="continue"/>
            <w:vAlign w:val="center"/>
          </w:tcPr>
          <w:p>
            <w:pPr>
              <w:jc w:val="center"/>
              <w:rPr>
                <w:rFonts w:ascii="Times New Roman" w:hAnsi="Times New Roman" w:eastAsia="宋体" w:cs="Times New Roman"/>
                <w:color w:val="585858"/>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vAlign w:val="center"/>
          </w:tcPr>
          <w:p>
            <w:pPr>
              <w:jc w:val="center"/>
              <w:rPr>
                <w:rFonts w:ascii="Times New Roman" w:hAnsi="Times New Roman" w:eastAsia="宋体" w:cs="Times New Roman"/>
                <w:sz w:val="15"/>
                <w:szCs w:val="15"/>
                <w:shd w:val="clear" w:color="auto" w:fill="FFFFFF"/>
              </w:rPr>
            </w:pPr>
            <w:r>
              <w:rPr>
                <w:rFonts w:ascii="Times New Roman" w:hAnsi="Times New Roman" w:eastAsia="宋体" w:cs="Times New Roman"/>
                <w:sz w:val="15"/>
                <w:szCs w:val="15"/>
                <w:shd w:val="clear" w:color="auto" w:fill="FFFFFF"/>
              </w:rPr>
              <w:t>学科基础课</w:t>
            </w: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X19110101</w:t>
            </w:r>
          </w:p>
        </w:tc>
        <w:tc>
          <w:tcPr>
            <w:tcW w:w="2743"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中国古代文学专题</w:t>
            </w:r>
          </w:p>
        </w:tc>
        <w:tc>
          <w:tcPr>
            <w:tcW w:w="632" w:type="dxa"/>
            <w:vAlign w:val="center"/>
          </w:tcPr>
          <w:p>
            <w:pPr>
              <w:jc w:val="center"/>
              <w:rPr>
                <w:rFonts w:ascii="Times New Roman" w:hAnsi="Times New Roman" w:eastAsia="宋体" w:cs="Times New Roman"/>
                <w:sz w:val="15"/>
                <w:szCs w:val="15"/>
              </w:rPr>
            </w:pPr>
            <w:r>
              <w:rPr>
                <w:rFonts w:ascii="Times New Roman" w:hAnsi="Times New Roman" w:eastAsia="宋体" w:cs="Times New Roman"/>
                <w:sz w:val="15"/>
                <w:szCs w:val="15"/>
              </w:rPr>
              <w:t>3</w:t>
            </w:r>
          </w:p>
        </w:tc>
        <w:tc>
          <w:tcPr>
            <w:tcW w:w="1532" w:type="dxa"/>
            <w:vMerge w:val="restart"/>
            <w:vAlign w:val="center"/>
          </w:tcPr>
          <w:p>
            <w:pPr>
              <w:jc w:val="center"/>
              <w:rPr>
                <w:rFonts w:ascii="Times New Roman" w:hAnsi="Times New Roman" w:eastAsia="宋体" w:cs="Times New Roman"/>
                <w:color w:val="FF0000"/>
                <w:sz w:val="15"/>
                <w:szCs w:val="15"/>
                <w:shd w:val="clear" w:color="auto" w:fill="FFFFFF"/>
              </w:rPr>
            </w:pPr>
            <w:r>
              <w:rPr>
                <w:rFonts w:ascii="Times New Roman" w:hAnsi="Times New Roman" w:eastAsia="宋体" w:cs="Times New Roman"/>
                <w:sz w:val="15"/>
                <w:szCs w:val="15"/>
              </w:rPr>
              <w:t>必修</w:t>
            </w:r>
            <w:r>
              <w:rPr>
                <w:rFonts w:hint="eastAsia" w:ascii="Times New Roman" w:hAnsi="Times New Roman" w:eastAsia="宋体" w:cs="Times New Roman"/>
                <w:sz w:val="15"/>
                <w:szCs w:val="15"/>
              </w:rPr>
              <w:t>31</w:t>
            </w:r>
            <w:r>
              <w:rPr>
                <w:rFonts w:ascii="Times New Roman" w:hAnsi="Times New Roman" w:eastAsia="宋体" w:cs="Times New Roman"/>
                <w:sz w:val="15"/>
                <w:szCs w:val="15"/>
              </w:rPr>
              <w:t>学分</w:t>
            </w: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X19110102</w:t>
            </w:r>
          </w:p>
        </w:tc>
        <w:tc>
          <w:tcPr>
            <w:tcW w:w="2743"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中国现当代文学专题研究</w:t>
            </w:r>
          </w:p>
        </w:tc>
        <w:tc>
          <w:tcPr>
            <w:tcW w:w="632"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3</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X19110103</w:t>
            </w:r>
          </w:p>
        </w:tc>
        <w:tc>
          <w:tcPr>
            <w:tcW w:w="2743"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文学理论基本问题</w:t>
            </w:r>
          </w:p>
        </w:tc>
        <w:tc>
          <w:tcPr>
            <w:tcW w:w="632"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3</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X19110104</w:t>
            </w:r>
          </w:p>
        </w:tc>
        <w:tc>
          <w:tcPr>
            <w:tcW w:w="2743"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汉语方言与地域文化</w:t>
            </w:r>
          </w:p>
        </w:tc>
        <w:tc>
          <w:tcPr>
            <w:tcW w:w="632"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3</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X19110105</w:t>
            </w:r>
          </w:p>
        </w:tc>
        <w:tc>
          <w:tcPr>
            <w:tcW w:w="2743"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汉字学</w:t>
            </w:r>
          </w:p>
        </w:tc>
        <w:tc>
          <w:tcPr>
            <w:tcW w:w="632"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3</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X19110106</w:t>
            </w:r>
          </w:p>
        </w:tc>
        <w:tc>
          <w:tcPr>
            <w:tcW w:w="2743"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中国俗文学研究</w:t>
            </w:r>
          </w:p>
        </w:tc>
        <w:tc>
          <w:tcPr>
            <w:tcW w:w="632"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3</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X19110107</w:t>
            </w:r>
          </w:p>
        </w:tc>
        <w:tc>
          <w:tcPr>
            <w:tcW w:w="2743"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文学理论经典名著选读</w:t>
            </w:r>
          </w:p>
        </w:tc>
        <w:tc>
          <w:tcPr>
            <w:tcW w:w="632"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3</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X19110108</w:t>
            </w:r>
          </w:p>
        </w:tc>
        <w:tc>
          <w:tcPr>
            <w:tcW w:w="2743"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现当代文学批评</w:t>
            </w:r>
          </w:p>
        </w:tc>
        <w:tc>
          <w:tcPr>
            <w:tcW w:w="632"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3</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X19110109</w:t>
            </w:r>
          </w:p>
        </w:tc>
        <w:tc>
          <w:tcPr>
            <w:tcW w:w="2743"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汉语史</w:t>
            </w:r>
          </w:p>
        </w:tc>
        <w:tc>
          <w:tcPr>
            <w:tcW w:w="632"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3</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X191101010</w:t>
            </w:r>
          </w:p>
        </w:tc>
        <w:tc>
          <w:tcPr>
            <w:tcW w:w="2743"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语言学名著选读</w:t>
            </w:r>
          </w:p>
        </w:tc>
        <w:tc>
          <w:tcPr>
            <w:tcW w:w="632"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3</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pPr>
              <w:jc w:val="center"/>
              <w:rPr>
                <w:rFonts w:ascii="Times New Roman" w:hAnsi="Times New Roman" w:eastAsia="宋体" w:cs="Times New Roman"/>
                <w:sz w:val="15"/>
                <w:szCs w:val="15"/>
                <w:shd w:val="clear" w:color="auto" w:fill="FFFFFF"/>
              </w:rPr>
            </w:pP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X191101011</w:t>
            </w:r>
          </w:p>
        </w:tc>
        <w:tc>
          <w:tcPr>
            <w:tcW w:w="2743" w:type="dxa"/>
            <w:vAlign w:val="center"/>
          </w:tcPr>
          <w:p>
            <w:pPr>
              <w:adjustRightInd w:val="0"/>
              <w:jc w:val="center"/>
              <w:rPr>
                <w:rFonts w:ascii="Times New Roman" w:hAnsi="Times New Roman" w:eastAsia="宋体" w:cs="Times New Roman"/>
                <w:sz w:val="15"/>
                <w:szCs w:val="15"/>
              </w:rPr>
            </w:pPr>
            <w:r>
              <w:rPr>
                <w:rFonts w:ascii="Times New Roman" w:hAnsi="Times New Roman" w:eastAsia="宋体" w:cs="Times New Roman"/>
                <w:sz w:val="15"/>
                <w:szCs w:val="15"/>
              </w:rPr>
              <w:t>学术论文写作</w:t>
            </w:r>
          </w:p>
        </w:tc>
        <w:tc>
          <w:tcPr>
            <w:tcW w:w="632" w:type="dxa"/>
            <w:vAlign w:val="center"/>
          </w:tcPr>
          <w:p>
            <w:pPr>
              <w:adjustRightInd w:val="0"/>
              <w:jc w:val="center"/>
              <w:rPr>
                <w:rFonts w:ascii="Times New Roman" w:hAnsi="Times New Roman" w:eastAsia="宋体" w:cs="Times New Roman"/>
                <w:sz w:val="15"/>
                <w:szCs w:val="15"/>
              </w:rPr>
            </w:pPr>
            <w:r>
              <w:rPr>
                <w:rFonts w:ascii="Times New Roman" w:hAnsi="Times New Roman" w:eastAsia="宋体" w:cs="Times New Roman"/>
                <w:sz w:val="15"/>
                <w:szCs w:val="15"/>
              </w:rPr>
              <w:t>1</w:t>
            </w:r>
          </w:p>
        </w:tc>
        <w:tc>
          <w:tcPr>
            <w:tcW w:w="1532" w:type="dxa"/>
            <w:vMerge w:val="continue"/>
            <w:vAlign w:val="center"/>
          </w:tcPr>
          <w:p>
            <w:pPr>
              <w:jc w:val="center"/>
              <w:rPr>
                <w:rFonts w:ascii="Times New Roman" w:hAnsi="Times New Roman" w:eastAsia="宋体" w:cs="Times New Roman"/>
                <w:sz w:val="15"/>
                <w:szCs w:val="15"/>
                <w:shd w:val="clear" w:color="auto" w:fill="FFFFFF"/>
              </w:rPr>
            </w:pP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585858"/>
                <w:sz w:val="15"/>
                <w:szCs w:val="15"/>
                <w:shd w:val="clear" w:color="auto" w:fill="FFFFFF"/>
              </w:rPr>
              <w:t>实践环节</w:t>
            </w:r>
          </w:p>
        </w:tc>
        <w:tc>
          <w:tcPr>
            <w:tcW w:w="9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G19000023</w:t>
            </w:r>
          </w:p>
        </w:tc>
        <w:tc>
          <w:tcPr>
            <w:tcW w:w="2743" w:type="dxa"/>
            <w:vAlign w:val="center"/>
          </w:tcPr>
          <w:p>
            <w:pPr>
              <w:adjustRightInd w:val="0"/>
              <w:ind w:right="113"/>
              <w:jc w:val="center"/>
              <w:rPr>
                <w:rFonts w:ascii="Times New Roman" w:hAnsi="Times New Roman" w:eastAsia="宋体" w:cs="Times New Roman"/>
                <w:sz w:val="15"/>
                <w:szCs w:val="15"/>
              </w:rPr>
            </w:pPr>
            <w:r>
              <w:rPr>
                <w:rFonts w:ascii="Times New Roman" w:hAnsi="Times New Roman" w:eastAsia="宋体" w:cs="Times New Roman"/>
                <w:sz w:val="15"/>
                <w:szCs w:val="15"/>
              </w:rPr>
              <w:t>实践活动</w:t>
            </w:r>
          </w:p>
        </w:tc>
        <w:tc>
          <w:tcPr>
            <w:tcW w:w="632" w:type="dxa"/>
            <w:vAlign w:val="center"/>
          </w:tcPr>
          <w:p>
            <w:pPr>
              <w:adjustRightInd w:val="0"/>
              <w:snapToGrid w:val="0"/>
              <w:jc w:val="center"/>
              <w:rPr>
                <w:rFonts w:ascii="Times New Roman" w:hAnsi="Times New Roman" w:eastAsia="宋体" w:cs="Times New Roman"/>
                <w:sz w:val="15"/>
                <w:szCs w:val="15"/>
              </w:rPr>
            </w:pPr>
            <w:r>
              <w:rPr>
                <w:rFonts w:ascii="Times New Roman" w:hAnsi="Times New Roman" w:eastAsia="宋体" w:cs="Times New Roman"/>
                <w:sz w:val="15"/>
                <w:szCs w:val="15"/>
              </w:rPr>
              <w:t>1</w:t>
            </w:r>
          </w:p>
        </w:tc>
        <w:tc>
          <w:tcPr>
            <w:tcW w:w="1532"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sz w:val="15"/>
                <w:szCs w:val="15"/>
              </w:rPr>
              <w:t>第</w:t>
            </w:r>
            <w:r>
              <w:rPr>
                <w:rFonts w:hint="eastAsia" w:ascii="Times New Roman" w:hAnsi="Times New Roman" w:eastAsia="宋体" w:cs="Times New Roman"/>
                <w:sz w:val="15"/>
                <w:szCs w:val="15"/>
              </w:rPr>
              <w:t>5</w:t>
            </w:r>
            <w:r>
              <w:rPr>
                <w:rFonts w:ascii="Times New Roman" w:hAnsi="Times New Roman" w:eastAsia="宋体" w:cs="Times New Roman"/>
                <w:sz w:val="15"/>
                <w:szCs w:val="15"/>
              </w:rPr>
              <w:t>学期前完成</w:t>
            </w: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585858"/>
                <w:sz w:val="15"/>
                <w:szCs w:val="15"/>
                <w:shd w:val="clear" w:color="auto" w:fill="FFFFFF"/>
              </w:rPr>
              <w:t>学术活动</w:t>
            </w:r>
          </w:p>
        </w:tc>
        <w:tc>
          <w:tcPr>
            <w:tcW w:w="997" w:type="dxa"/>
            <w:vAlign w:val="center"/>
          </w:tcPr>
          <w:p>
            <w:pPr>
              <w:jc w:val="center"/>
              <w:rPr>
                <w:rFonts w:ascii="Times New Roman" w:hAnsi="Times New Roman" w:eastAsia="宋体" w:cs="Times New Roman"/>
                <w:color w:val="585858"/>
                <w:sz w:val="15"/>
                <w:szCs w:val="15"/>
                <w:shd w:val="clear" w:color="auto" w:fill="FFFFFF"/>
              </w:rPr>
            </w:pPr>
          </w:p>
        </w:tc>
        <w:tc>
          <w:tcPr>
            <w:tcW w:w="2743"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学术活动的主要形式包括听取学术报告、讲座，参加学术会议，参加学校或省级研究生论坛，参加学院主办的学术沙龙等。</w:t>
            </w:r>
            <w:r>
              <w:rPr>
                <w:rFonts w:ascii="Times New Roman" w:hAnsi="Times New Roman" w:eastAsia="宋体" w:cs="Times New Roman"/>
                <w:sz w:val="15"/>
                <w:szCs w:val="15"/>
              </w:rPr>
              <w:t>。</w:t>
            </w:r>
          </w:p>
        </w:tc>
        <w:tc>
          <w:tcPr>
            <w:tcW w:w="632" w:type="dxa"/>
            <w:vAlign w:val="center"/>
          </w:tcPr>
          <w:p>
            <w:pPr>
              <w:rPr>
                <w:rFonts w:ascii="Times New Roman" w:hAnsi="Times New Roman" w:eastAsia="宋体" w:cs="Times New Roman"/>
                <w:color w:val="585858"/>
                <w:sz w:val="15"/>
                <w:szCs w:val="15"/>
                <w:shd w:val="clear" w:color="auto" w:fill="FFFFFF"/>
              </w:rPr>
            </w:pPr>
          </w:p>
        </w:tc>
        <w:tc>
          <w:tcPr>
            <w:tcW w:w="1532" w:type="dxa"/>
            <w:vAlign w:val="center"/>
          </w:tcPr>
          <w:p>
            <w:pP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000000"/>
                <w:sz w:val="15"/>
                <w:szCs w:val="15"/>
              </w:rPr>
              <w:t>须参加学术活动10次以上，其中本人主讲报告至少一次。</w:t>
            </w:r>
          </w:p>
        </w:tc>
        <w:tc>
          <w:tcPr>
            <w:tcW w:w="654"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必修</w:t>
            </w:r>
          </w:p>
        </w:tc>
        <w:tc>
          <w:tcPr>
            <w:tcW w:w="993" w:type="dxa"/>
            <w:vAlign w:val="center"/>
          </w:tcPr>
          <w:p>
            <w:pPr>
              <w:jc w:val="center"/>
              <w:rPr>
                <w:rFonts w:ascii="Times New Roman" w:hAnsi="Times New Roman" w:eastAsia="宋体" w:cs="Times New Roman"/>
                <w:color w:val="585858"/>
                <w:sz w:val="15"/>
                <w:szCs w:val="15"/>
                <w:shd w:val="clear" w:color="auto" w:fill="FFFFFF"/>
              </w:rPr>
            </w:pPr>
            <w:r>
              <w:rPr>
                <w:rFonts w:ascii="Times New Roman" w:hAnsi="Times New Roman" w:eastAsia="宋体" w:cs="Times New Roman"/>
                <w:color w:val="222222"/>
                <w:sz w:val="15"/>
                <w:szCs w:val="15"/>
                <w:shd w:val="clear" w:color="auto" w:fill="FFFFFF"/>
              </w:rPr>
              <w:t>周六、周日</w:t>
            </w:r>
          </w:p>
        </w:tc>
      </w:tr>
    </w:tbl>
    <w:p>
      <w:pPr>
        <w:spacing w:beforeLines="50"/>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六、申请条件</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 xml:space="preserve">1. </w:t>
      </w:r>
      <w:r>
        <w:rPr>
          <w:rFonts w:ascii="宋体" w:hAnsi="宋体" w:eastAsia="宋体" w:cs="宋体"/>
          <w:szCs w:val="21"/>
        </w:rPr>
        <w:t>遵守法律、法规，品行端正；</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2. 已获得学士学位并在获得学士学位后工作三年以上，或虽无学士学位但已获得硕士或博士学位者，在教学、科研、专门技术、管理等方面做出成绩（注：已获得的学士、硕士或博士学位为国（境）外学位的，其所获得的国（境）外学位需经教育部留学服务中心认证）。</w:t>
      </w:r>
    </w:p>
    <w:p>
      <w:pPr>
        <w:spacing w:beforeLines="50"/>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七、学习年限及收费</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 xml:space="preserve">1. </w:t>
      </w:r>
      <w:r>
        <w:rPr>
          <w:rFonts w:ascii="宋体" w:hAnsi="宋体" w:eastAsia="宋体" w:cs="宋体"/>
          <w:szCs w:val="21"/>
        </w:rPr>
        <w:t>同等学力申请硕士学位分为两个阶段：课程学习阶段（简称第一阶段）和撰写学位论文及答辩阶段（简称第二阶段）。申请人自通过资格审查之日起，须在八年内完成两个阶段的学习。</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2. 第一阶段：申请人自通过资格审查之日起，1-2年内完成学校组织的全部课程考试，并在6年内通过国家组织的全部水平考试，且成绩合格。未通过课程考试和国家组织的水平考试者，本次申请无效。</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3. 第二阶段：申请人通过学位授予单位组织的全部课程考试和国家组织的水平考试后，完成学位论文的开题、撰写和答辩。</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4. 收费标准：</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第一阶段：课程学习培养费22000元</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第二阶段：学位申请费12000元</w:t>
      </w:r>
    </w:p>
    <w:p>
      <w:pPr>
        <w:pStyle w:val="5"/>
        <w:widowControl/>
        <w:shd w:val="clear" w:color="auto" w:fill="FFFFFF"/>
        <w:spacing w:before="0" w:beforeAutospacing="0" w:after="0" w:afterAutospacing="0" w:line="400" w:lineRule="exact"/>
        <w:ind w:firstLine="480" w:firstLineChars="200"/>
        <w:rPr>
          <w:rFonts w:ascii="Times New Roman" w:hAnsi="Times New Roman" w:eastAsia="宋体"/>
          <w:sz w:val="21"/>
          <w:szCs w:val="21"/>
        </w:rPr>
      </w:pPr>
      <w:r>
        <w:rPr>
          <w:rFonts w:hint="eastAsia" w:ascii="宋体" w:hAnsi="宋体" w:eastAsia="宋体" w:cs="宋体"/>
          <w:szCs w:val="21"/>
        </w:rPr>
        <w:t>申请人须按时缴纳学费到学校财务账号，具体收费标准以当年度审批备案标准为准。学位申请费在通过学位相关考试进入论文写作环节时交清。</w:t>
      </w:r>
      <w:r>
        <w:rPr>
          <w:rFonts w:hint="eastAsia" w:ascii="Times New Roman" w:hAnsi="Times New Roman" w:eastAsia="宋体"/>
          <w:b/>
          <w:bCs/>
          <w:sz w:val="21"/>
          <w:szCs w:val="21"/>
        </w:rPr>
        <w:t>学校未委托任何第三方机构或个人代理本项目招生、培训及收费等事宜，所有费用一经交纳，概不退回</w:t>
      </w:r>
      <w:r>
        <w:rPr>
          <w:rFonts w:hint="eastAsia" w:ascii="Times New Roman" w:hAnsi="Times New Roman" w:eastAsia="宋体"/>
          <w:sz w:val="21"/>
          <w:szCs w:val="21"/>
        </w:rPr>
        <w:t>。</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申请步骤和缴费方式详见《湖南科技大学2023年同等学力人员申请硕士学位招生简章》。</w:t>
      </w:r>
    </w:p>
    <w:p>
      <w:pPr>
        <w:spacing w:beforeLines="50"/>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八、颁发证书</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 xml:space="preserve">1. </w:t>
      </w:r>
      <w:r>
        <w:rPr>
          <w:rFonts w:ascii="宋体" w:hAnsi="宋体" w:eastAsia="宋体" w:cs="宋体"/>
          <w:szCs w:val="21"/>
        </w:rPr>
        <w:t>申</w:t>
      </w:r>
      <w:r>
        <w:rPr>
          <w:rFonts w:hint="eastAsia" w:ascii="宋体" w:hAnsi="宋体" w:eastAsia="宋体" w:cs="宋体"/>
          <w:szCs w:val="21"/>
        </w:rPr>
        <w:t>请人在学校规定学习年限内，修完培养方案规定的全部课程，但因未能通过国家统考的外语水平考试和完成学位论文等原因，学校准予结业，发给结业证书。</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2. 申请硕士学位者，参照《国务院学位委员会关于授予具有研究生毕业同等学力硕士学位的规定》要求，按时通过国家统考的外语水平考试和论文答辩，按照湖南科技大学申请同等学力硕士学位的流程完成各项申请工作，经学校学位委员会评定通过，可授予中国语言文学硕士学位。</w:t>
      </w:r>
    </w:p>
    <w:p>
      <w:pPr>
        <w:spacing w:beforeLines="50"/>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九、报名咨询</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ascii="宋体" w:hAnsi="宋体" w:eastAsia="宋体" w:cs="宋体"/>
          <w:szCs w:val="21"/>
        </w:rPr>
        <w:t>地</w:t>
      </w:r>
      <w:r>
        <w:rPr>
          <w:rFonts w:hint="eastAsia" w:ascii="宋体" w:hAnsi="宋体" w:eastAsia="宋体" w:cs="宋体"/>
          <w:szCs w:val="21"/>
        </w:rPr>
        <w:t xml:space="preserve">  </w:t>
      </w:r>
      <w:r>
        <w:rPr>
          <w:rFonts w:ascii="宋体" w:hAnsi="宋体" w:eastAsia="宋体" w:cs="宋体"/>
          <w:szCs w:val="21"/>
        </w:rPr>
        <w:t>址：湖南科技大学</w:t>
      </w:r>
      <w:r>
        <w:rPr>
          <w:rFonts w:hint="eastAsia" w:ascii="宋体" w:hAnsi="宋体" w:eastAsia="宋体" w:cs="宋体"/>
          <w:szCs w:val="21"/>
        </w:rPr>
        <w:t>立言楼B504办公室</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联系人：李云峰老师</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手  机：19373221909</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座  机：0731-5291415</w:t>
      </w:r>
    </w:p>
    <w:p>
      <w:pPr>
        <w:pStyle w:val="5"/>
        <w:widowControl/>
        <w:shd w:val="clear" w:color="auto" w:fill="FFFFFF"/>
        <w:spacing w:before="0" w:beforeAutospacing="0" w:after="0" w:afterAutospacing="0" w:line="400" w:lineRule="exact"/>
        <w:ind w:firstLine="480" w:firstLineChars="200"/>
        <w:rPr>
          <w:rFonts w:ascii="宋体" w:hAnsi="宋体" w:eastAsia="宋体" w:cs="宋体"/>
          <w:szCs w:val="21"/>
        </w:rPr>
      </w:pPr>
      <w:r>
        <w:rPr>
          <w:rFonts w:hint="eastAsia" w:ascii="宋体" w:hAnsi="宋体" w:eastAsia="宋体" w:cs="宋体"/>
          <w:szCs w:val="21"/>
        </w:rPr>
        <w:t>负责人：袁星洁副院长</w:t>
      </w:r>
    </w:p>
    <w:p>
      <w:pPr>
        <w:pStyle w:val="5"/>
        <w:widowControl/>
        <w:shd w:val="clear" w:color="auto" w:fill="FFFFFF"/>
        <w:spacing w:before="0" w:beforeAutospacing="0" w:after="0" w:afterAutospacing="0" w:line="40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rPr>
        <w:t>手  机：</w:t>
      </w:r>
      <w:r>
        <w:rPr>
          <w:rFonts w:hint="eastAsia" w:ascii="宋体" w:hAnsi="宋体" w:eastAsia="宋体" w:cs="宋体"/>
          <w:szCs w:val="21"/>
          <w:lang w:val="en-US" w:eastAsia="zh-CN"/>
        </w:rPr>
        <w:t>18707323278</w:t>
      </w:r>
    </w:p>
    <w:p>
      <w:pPr>
        <w:pStyle w:val="5"/>
        <w:widowControl/>
        <w:shd w:val="clear" w:color="auto" w:fill="FFFFFF"/>
        <w:spacing w:before="0" w:beforeAutospacing="0" w:after="0" w:afterAutospacing="0" w:line="40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rPr>
        <w:t>座  机：</w:t>
      </w:r>
      <w:r>
        <w:rPr>
          <w:rFonts w:hint="eastAsia" w:ascii="宋体" w:hAnsi="宋体" w:eastAsia="宋体" w:cs="宋体"/>
          <w:szCs w:val="21"/>
          <w:lang w:val="en-US" w:eastAsia="zh-CN"/>
        </w:rPr>
        <w:t>0731-58291152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57364"/>
    <w:multiLevelType w:val="multilevel"/>
    <w:tmpl w:val="0CD573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NmY3OGY5ZGQzZTg3NDdlYmVmYTQxYjU4ZWU3ZjkifQ=="/>
  </w:docVars>
  <w:rsids>
    <w:rsidRoot w:val="6906376B"/>
    <w:rsid w:val="000F718B"/>
    <w:rsid w:val="001B0C30"/>
    <w:rsid w:val="00321D0E"/>
    <w:rsid w:val="00335299"/>
    <w:rsid w:val="0046131F"/>
    <w:rsid w:val="004B44F2"/>
    <w:rsid w:val="005701A3"/>
    <w:rsid w:val="008F428A"/>
    <w:rsid w:val="00BD6209"/>
    <w:rsid w:val="00C56764"/>
    <w:rsid w:val="00C91E3D"/>
    <w:rsid w:val="21550DCB"/>
    <w:rsid w:val="215A724E"/>
    <w:rsid w:val="23914D8D"/>
    <w:rsid w:val="2A4B57F3"/>
    <w:rsid w:val="2D2F0F51"/>
    <w:rsid w:val="372B4B80"/>
    <w:rsid w:val="491B4291"/>
    <w:rsid w:val="549B63CC"/>
    <w:rsid w:val="549D39D1"/>
    <w:rsid w:val="5B253E47"/>
    <w:rsid w:val="5CB00B96"/>
    <w:rsid w:val="61EB2991"/>
    <w:rsid w:val="62516533"/>
    <w:rsid w:val="6906376B"/>
    <w:rsid w:val="6AA85AD3"/>
    <w:rsid w:val="76DA1737"/>
    <w:rsid w:val="7B3E036B"/>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1861</Words>
  <Characters>2051</Characters>
  <Lines>15</Lines>
  <Paragraphs>4</Paragraphs>
  <TotalTime>1</TotalTime>
  <ScaleCrop>false</ScaleCrop>
  <LinksUpToDate>false</LinksUpToDate>
  <CharactersWithSpaces>2069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2023-06-27T01:38:00Z</dcterms:created>
  <dc:creator>众木成林</dc:creator>
  <cp:lastModifiedBy>Administrator</cp:lastModifiedBy>
  <dcterms:modified xsi:type="dcterms:W3CDTF">2023-06-30T10:24:12Z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6B392D920A0F49FF8BDB8739C0DA9CA5_13</vt:lpwstr>
  </property>
</Properties>
</file>